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C0A" w:rsidRPr="002B3473" w:rsidRDefault="001B2C0A" w:rsidP="00763566">
      <w:pPr>
        <w:pStyle w:val="Heading3"/>
        <w:spacing w:after="80"/>
        <w:rPr>
          <w:rtl/>
        </w:rPr>
      </w:pPr>
      <w:r w:rsidRPr="002B3473">
        <w:rPr>
          <w:rFonts w:hint="cs"/>
          <w:rtl/>
        </w:rPr>
        <w:t>ا</w:t>
      </w:r>
      <w:r w:rsidRPr="002B3473">
        <w:rPr>
          <w:rtl/>
        </w:rPr>
        <w:t>ستمارة ال</w:t>
      </w:r>
      <w:r w:rsidRPr="002B3473">
        <w:rPr>
          <w:rFonts w:hint="cs"/>
          <w:rtl/>
        </w:rPr>
        <w:t>أسئلة</w:t>
      </w:r>
      <w:r w:rsidRPr="002B3473">
        <w:rPr>
          <w:rtl/>
        </w:rPr>
        <w:t xml:space="preserve"> </w:t>
      </w:r>
      <w:proofErr w:type="gramStart"/>
      <w:r w:rsidRPr="002B3473">
        <w:rPr>
          <w:rtl/>
        </w:rPr>
        <w:t>في</w:t>
      </w:r>
      <w:proofErr w:type="gramEnd"/>
      <w:r w:rsidRPr="002B3473">
        <w:rPr>
          <w:rtl/>
        </w:rPr>
        <w:t xml:space="preserve"> ما يتعلّق بمرحلة الد</w:t>
      </w:r>
      <w:r w:rsidRPr="002B3473">
        <w:rPr>
          <w:rFonts w:hint="cs"/>
          <w:rtl/>
        </w:rPr>
        <w:t>ّ</w:t>
      </w:r>
      <w:r w:rsidRPr="002B3473">
        <w:rPr>
          <w:rtl/>
        </w:rPr>
        <w:t>مج مقابل مرحلة البرمجة</w:t>
      </w:r>
      <w:r w:rsidRPr="002B3473">
        <w:t xml:space="preserve"> </w:t>
      </w:r>
    </w:p>
    <w:tbl>
      <w:tblPr>
        <w:bidiVisual/>
        <w:tblW w:w="9344" w:type="dxa"/>
        <w:tblInd w:w="35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6792"/>
        <w:gridCol w:w="1276"/>
        <w:gridCol w:w="1276"/>
      </w:tblGrid>
      <w:tr w:rsidR="00DC6D21" w:rsidRPr="002B3473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  <w:shd w:val="clear" w:color="auto" w:fill="E9F7CB"/>
          </w:tcPr>
          <w:p w:rsidR="00DC6D21" w:rsidRPr="002B3473" w:rsidRDefault="00DC6D21" w:rsidP="001A2833">
            <w:pPr>
              <w:pStyle w:val="tableheading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  <w:shd w:val="clear" w:color="auto" w:fill="E9F7CB"/>
          </w:tcPr>
          <w:p w:rsidR="00DC6D21" w:rsidRPr="002B3473" w:rsidRDefault="00DC6D21" w:rsidP="001A2833">
            <w:pPr>
              <w:pStyle w:val="tableheading"/>
            </w:pPr>
            <w:proofErr w:type="gramStart"/>
            <w:r w:rsidRPr="002B3473">
              <w:rPr>
                <w:rFonts w:hint="cs"/>
                <w:rtl/>
              </w:rPr>
              <w:t>مرحلة</w:t>
            </w:r>
            <w:proofErr w:type="gramEnd"/>
            <w:r w:rsidRPr="002B3473">
              <w:rPr>
                <w:rFonts w:hint="cs"/>
                <w:rtl/>
              </w:rPr>
              <w:t xml:space="preserve"> </w:t>
            </w:r>
            <w:r w:rsidRPr="002B3473">
              <w:rPr>
                <w:rtl/>
              </w:rPr>
              <w:t>البرمجة</w:t>
            </w:r>
            <w:r w:rsidRPr="002B3473">
              <w:rPr>
                <w:rFonts w:hint="cs"/>
                <w:rtl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/>
          </w:tcPr>
          <w:p w:rsidR="00DC6D21" w:rsidRPr="002B3473" w:rsidRDefault="00DC6D21" w:rsidP="001A2833">
            <w:pPr>
              <w:pStyle w:val="tableheading"/>
            </w:pPr>
            <w:proofErr w:type="gramStart"/>
            <w:r w:rsidRPr="002B3473">
              <w:rPr>
                <w:rFonts w:hint="cs"/>
                <w:rtl/>
              </w:rPr>
              <w:t>مرحلة</w:t>
            </w:r>
            <w:proofErr w:type="gramEnd"/>
            <w:r w:rsidRPr="002B3473">
              <w:rPr>
                <w:rFonts w:hint="cs"/>
                <w:rtl/>
              </w:rPr>
              <w:t xml:space="preserve"> </w:t>
            </w:r>
            <w:r w:rsidRPr="002B3473">
              <w:rPr>
                <w:rtl/>
              </w:rPr>
              <w:t>ال</w:t>
            </w:r>
            <w:r w:rsidRPr="002B3473">
              <w:rPr>
                <w:rFonts w:hint="cs"/>
                <w:rtl/>
              </w:rPr>
              <w:t xml:space="preserve">دّمج 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tl/>
              </w:rPr>
              <w:t>دعم مشروع الرّعاية المنزليّة ل</w:t>
            </w:r>
            <w:r w:rsidRPr="002B3473">
              <w:rPr>
                <w:rFonts w:hint="cs"/>
                <w:rtl/>
              </w:rPr>
              <w:t xml:space="preserve">حاملي </w:t>
            </w:r>
            <w:r w:rsidRPr="002B3473">
              <w:rPr>
                <w:rtl/>
              </w:rPr>
              <w:t xml:space="preserve">فيروس </w:t>
            </w:r>
            <w:proofErr w:type="gramStart"/>
            <w:r w:rsidRPr="002B3473">
              <w:rPr>
                <w:rtl/>
              </w:rPr>
              <w:t>نقص</w:t>
            </w:r>
            <w:proofErr w:type="gramEnd"/>
            <w:r w:rsidRPr="002B3473">
              <w:rPr>
                <w:rtl/>
              </w:rPr>
              <w:t xml:space="preserve"> المناعة البشريّة / الإيدز</w:t>
            </w:r>
            <w:r w:rsidRPr="002B3473">
              <w:rPr>
                <w:rFonts w:hint="cs"/>
                <w:rtl/>
              </w:rPr>
              <w:t>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Pr="007D1ADB" w:rsidRDefault="00DC6D21" w:rsidP="00E247AB">
            <w:pPr>
              <w:spacing w:beforeLines="40" w:before="96" w:afterLines="30" w:after="72"/>
              <w:jc w:val="center"/>
              <w:rPr>
                <w:rFonts w:ascii="Wingdings" w:hAnsi="Wingdings"/>
                <w:color w:val="579305" w:themeColor="accent1"/>
                <w:sz w:val="28"/>
              </w:rPr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tl/>
              </w:rPr>
              <w:t xml:space="preserve">تضمن للعاملين الدّعم الكافي </w:t>
            </w:r>
            <w:proofErr w:type="gramStart"/>
            <w:r w:rsidRPr="002B3473">
              <w:rPr>
                <w:rtl/>
              </w:rPr>
              <w:t>عند</w:t>
            </w:r>
            <w:proofErr w:type="gramEnd"/>
            <w:r w:rsidRPr="002B3473">
              <w:rPr>
                <w:rtl/>
              </w:rPr>
              <w:t xml:space="preserve"> حالات العمل الحرجة.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tl/>
              </w:rPr>
              <w:t>تطوير قواعد السّلوك التنظيميّة تتضمن مراجع حول السّلوك الجنسي الاستغلالي أو القسري.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proofErr w:type="gramStart"/>
            <w:r w:rsidRPr="002B3473">
              <w:rPr>
                <w:rtl/>
              </w:rPr>
              <w:t>مراعاة</w:t>
            </w:r>
            <w:proofErr w:type="gramEnd"/>
            <w:r w:rsidRPr="002B3473">
              <w:rPr>
                <w:rtl/>
              </w:rPr>
              <w:t xml:space="preserve"> توقيت العمل والدّراسة ليخوّل للأطراف المعنيّة رعاية أفراد العائلة المرضى.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proofErr w:type="gramStart"/>
            <w:r w:rsidRPr="002B3473">
              <w:rPr>
                <w:rtl/>
              </w:rPr>
              <w:t>تنظيم</w:t>
            </w:r>
            <w:proofErr w:type="gramEnd"/>
            <w:r w:rsidRPr="002B3473">
              <w:rPr>
                <w:rtl/>
              </w:rPr>
              <w:t xml:space="preserve"> يوم عالمي للإيدز.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tl/>
              </w:rPr>
              <w:t xml:space="preserve">التّأكّد </w:t>
            </w:r>
            <w:proofErr w:type="gramStart"/>
            <w:r w:rsidRPr="002B3473">
              <w:rPr>
                <w:rtl/>
              </w:rPr>
              <w:t>من</w:t>
            </w:r>
            <w:proofErr w:type="gramEnd"/>
            <w:r w:rsidRPr="002B3473">
              <w:rPr>
                <w:rtl/>
              </w:rPr>
              <w:t xml:space="preserve"> أنّ المراحيض وإمدادات المياه ليست موجودة في مناطق معزولة خاصّة في مشاريع البناء.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tl/>
              </w:rPr>
              <w:t>توفير التّمويل لتغطية مصاريف الدّراسة لفائدة الأيتام المصابين بالإيدز.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1A2833" w:rsidRDefault="00DC6D21" w:rsidP="00E247AB">
            <w:pPr>
              <w:pStyle w:val="table"/>
              <w:spacing w:beforeLines="40" w:before="96" w:afterLines="30" w:after="72"/>
              <w:rPr>
                <w:rtl/>
              </w:rPr>
            </w:pPr>
            <w:r w:rsidRPr="002B3473">
              <w:rPr>
                <w:rtl/>
              </w:rPr>
              <w:t xml:space="preserve">تقديم محاضرات حول الأعمال التّي تقوم بها منظّمتك فيما يتعلّق بمرض </w:t>
            </w:r>
            <w:proofErr w:type="gramStart"/>
            <w:r w:rsidRPr="002B3473">
              <w:rPr>
                <w:rtl/>
              </w:rPr>
              <w:t>نقص</w:t>
            </w:r>
            <w:proofErr w:type="gramEnd"/>
            <w:r w:rsidRPr="002B3473">
              <w:rPr>
                <w:rtl/>
              </w:rPr>
              <w:t xml:space="preserve"> المناعة</w:t>
            </w:r>
          </w:p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proofErr w:type="gramStart"/>
            <w:r w:rsidRPr="002B3473">
              <w:rPr>
                <w:rtl/>
              </w:rPr>
              <w:t>البشريّة</w:t>
            </w:r>
            <w:proofErr w:type="gramEnd"/>
            <w:r w:rsidRPr="002B3473">
              <w:rPr>
                <w:rtl/>
              </w:rPr>
              <w:t xml:space="preserve"> / الإيدز. 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proofErr w:type="gramStart"/>
            <w:r w:rsidRPr="002B3473">
              <w:rPr>
                <w:rFonts w:hint="cs"/>
                <w:rtl/>
              </w:rPr>
              <w:t>البحث</w:t>
            </w:r>
            <w:proofErr w:type="gramEnd"/>
            <w:r w:rsidRPr="002B3473">
              <w:rPr>
                <w:rFonts w:hint="cs"/>
                <w:rtl/>
              </w:rPr>
              <w:t xml:space="preserve"> عن عيادة صحيّة محليّة توفّر الفحص الطّبي والإرشاد النّفسي حول مرض</w:t>
            </w:r>
            <w:r w:rsidRPr="002B3473">
              <w:rPr>
                <w:rtl/>
              </w:rPr>
              <w:t xml:space="preserve"> نقص المناعة البشريّة / الإيدز.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tl/>
              </w:rPr>
              <w:t xml:space="preserve">ضمان حقّ </w:t>
            </w:r>
            <w:proofErr w:type="gramStart"/>
            <w:r w:rsidRPr="002B3473">
              <w:rPr>
                <w:rtl/>
              </w:rPr>
              <w:t>تتبّع</w:t>
            </w:r>
            <w:proofErr w:type="gramEnd"/>
            <w:r w:rsidRPr="002B3473">
              <w:rPr>
                <w:rtl/>
              </w:rPr>
              <w:t xml:space="preserve"> النّساء والرّجال لقرارات منفّ</w:t>
            </w:r>
            <w:r w:rsidRPr="002B3473">
              <w:rPr>
                <w:rFonts w:hint="cs"/>
                <w:rtl/>
              </w:rPr>
              <w:t>ذ</w:t>
            </w:r>
            <w:r w:rsidRPr="002B3473">
              <w:rPr>
                <w:rtl/>
              </w:rPr>
              <w:t>ي البرامج.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tl/>
              </w:rPr>
              <w:t>وضع خطط طارئة لتطبيقها في أماكن العمل بهدف التّغلّب على ارتفاع م</w:t>
            </w:r>
            <w:r w:rsidRPr="002B3473">
              <w:rPr>
                <w:rFonts w:hint="cs"/>
                <w:rtl/>
              </w:rPr>
              <w:t>س</w:t>
            </w:r>
            <w:r w:rsidRPr="002B3473">
              <w:rPr>
                <w:rtl/>
              </w:rPr>
              <w:t>توى التّغيّب والمهارات المحدودة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proofErr w:type="gramStart"/>
            <w:r w:rsidRPr="002B3473">
              <w:rPr>
                <w:rtl/>
              </w:rPr>
              <w:t>توزيع</w:t>
            </w:r>
            <w:proofErr w:type="gramEnd"/>
            <w:r w:rsidRPr="002B3473">
              <w:rPr>
                <w:rtl/>
              </w:rPr>
              <w:t xml:space="preserve"> أدوات نظافة إضافيّة على الأّسر التّي تحتوي على أشخاص مصابين بأمراض مزمنة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proofErr w:type="gramStart"/>
            <w:r w:rsidRPr="002B3473">
              <w:rPr>
                <w:rtl/>
              </w:rPr>
              <w:t>توزيع</w:t>
            </w:r>
            <w:proofErr w:type="gramEnd"/>
            <w:r w:rsidRPr="002B3473">
              <w:rPr>
                <w:rtl/>
              </w:rPr>
              <w:t xml:space="preserve"> </w:t>
            </w:r>
            <w:r w:rsidRPr="002B3473">
              <w:rPr>
                <w:rFonts w:hint="cs"/>
                <w:rtl/>
              </w:rPr>
              <w:t xml:space="preserve">حصص غذائيّة </w:t>
            </w:r>
            <w:r w:rsidRPr="002B3473">
              <w:rPr>
                <w:rtl/>
              </w:rPr>
              <w:t>إضافيّة على الأّسر التّي تحتوي على أشخاص مصابين بأمراض مزمنة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tl/>
              </w:rPr>
              <w:t>توفير التّسهيلات اللاّزمة للحصول على الماء بهدف مساعدة ال</w:t>
            </w:r>
            <w:r w:rsidRPr="002B3473">
              <w:rPr>
                <w:rFonts w:hint="cs"/>
                <w:rtl/>
              </w:rPr>
              <w:t xml:space="preserve">مشرفين على </w:t>
            </w:r>
            <w:r w:rsidRPr="002B3473">
              <w:rPr>
                <w:rtl/>
              </w:rPr>
              <w:t>المصابين بأمراض مزمنة.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Fonts w:hint="cs"/>
                <w:rtl/>
              </w:rPr>
              <w:t xml:space="preserve">ضبط </w:t>
            </w:r>
            <w:proofErr w:type="gramStart"/>
            <w:r w:rsidRPr="002B3473">
              <w:rPr>
                <w:rFonts w:hint="cs"/>
                <w:rtl/>
              </w:rPr>
              <w:t>وقت</w:t>
            </w:r>
            <w:proofErr w:type="gramEnd"/>
            <w:r w:rsidRPr="002B3473">
              <w:rPr>
                <w:rFonts w:hint="cs"/>
                <w:rtl/>
              </w:rPr>
              <w:t xml:space="preserve"> الاجتماعات ليتناسب مع </w:t>
            </w:r>
            <w:r w:rsidRPr="002B3473">
              <w:rPr>
                <w:rtl/>
              </w:rPr>
              <w:t>ال</w:t>
            </w:r>
            <w:r w:rsidR="00CF7311" w:rsidRPr="002B3473">
              <w:rPr>
                <w:rFonts w:hint="cs"/>
                <w:rtl/>
              </w:rPr>
              <w:t>مشرفين على المصابين ب</w:t>
            </w:r>
            <w:r w:rsidRPr="002B3473">
              <w:rPr>
                <w:rFonts w:hint="cs"/>
                <w:rtl/>
              </w:rPr>
              <w:t>أمراض مزمنة.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tl/>
              </w:rPr>
              <w:t xml:space="preserve">تثبيت مضخات مياه تتناسب مع الأشخاص الذين يعانون </w:t>
            </w:r>
            <w:proofErr w:type="gramStart"/>
            <w:r w:rsidRPr="002B3473">
              <w:rPr>
                <w:rtl/>
              </w:rPr>
              <w:t>من</w:t>
            </w:r>
            <w:proofErr w:type="gramEnd"/>
            <w:r w:rsidRPr="002B3473">
              <w:rPr>
                <w:rtl/>
              </w:rPr>
              <w:t xml:space="preserve"> ضعف البنية الجسديّة.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tl/>
              </w:rPr>
              <w:t>مكافحة التمييز بين المصابين بفيروس نقص المناعة البشرية /ايدز وغيرهم  في المدارس</w:t>
            </w:r>
            <w:r w:rsidRPr="002B3473">
              <w:rPr>
                <w:rFonts w:hint="cs"/>
                <w:rtl/>
              </w:rPr>
              <w:t>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tl/>
              </w:rPr>
              <w:t xml:space="preserve">دعم العاملين في مناطق صعبة </w:t>
            </w:r>
            <w:proofErr w:type="gramStart"/>
            <w:r w:rsidRPr="002B3473">
              <w:rPr>
                <w:rtl/>
              </w:rPr>
              <w:t>لتجنّب</w:t>
            </w:r>
            <w:proofErr w:type="gramEnd"/>
            <w:r w:rsidRPr="002B3473">
              <w:rPr>
                <w:rtl/>
              </w:rPr>
              <w:t xml:space="preserve"> السّلوك المدمّر والذّي يعرّض للخطر.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  <w:tr w:rsidR="00DC6D21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DC6D21" w:rsidRPr="002B3473" w:rsidRDefault="00DC6D21" w:rsidP="00E247AB">
            <w:pPr>
              <w:pStyle w:val="table"/>
              <w:spacing w:beforeLines="40" w:before="96" w:afterLines="30" w:after="72"/>
            </w:pPr>
            <w:r w:rsidRPr="002B3473">
              <w:rPr>
                <w:rtl/>
              </w:rPr>
              <w:t>تنظيم محادثات تتعلّق بمرض</w:t>
            </w:r>
            <w:r w:rsidRPr="002B3473">
              <w:t xml:space="preserve"> </w:t>
            </w:r>
            <w:r w:rsidRPr="002B3473">
              <w:rPr>
                <w:rtl/>
              </w:rPr>
              <w:t xml:space="preserve"> الايدز لتوعية المستف</w:t>
            </w:r>
            <w:r w:rsidR="00CF7311" w:rsidRPr="002B3473">
              <w:rPr>
                <w:rFonts w:hint="cs"/>
                <w:rtl/>
              </w:rPr>
              <w:t>ي</w:t>
            </w:r>
            <w:r w:rsidRPr="002B3473">
              <w:rPr>
                <w:rtl/>
              </w:rPr>
              <w:t>دين في مناطق التّوزيع.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DC6D21" w:rsidRDefault="00DC6D21" w:rsidP="00E247AB">
            <w:pPr>
              <w:spacing w:beforeLines="40" w:before="96" w:afterLines="30" w:after="72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</w:rPr>
              <w:t></w:t>
            </w:r>
          </w:p>
        </w:tc>
      </w:tr>
    </w:tbl>
    <w:p w:rsidR="007D1ADB" w:rsidRPr="002B3473" w:rsidRDefault="001B2C0A" w:rsidP="00E247AB">
      <w:pPr>
        <w:pStyle w:val="Heading3"/>
        <w:pageBreakBefore/>
        <w:spacing w:before="0" w:after="80"/>
      </w:pPr>
      <w:r w:rsidRPr="002B3473">
        <w:rPr>
          <w:rtl/>
        </w:rPr>
        <w:lastRenderedPageBreak/>
        <w:t xml:space="preserve">استمارة الإجابة </w:t>
      </w:r>
      <w:proofErr w:type="gramStart"/>
      <w:r w:rsidRPr="002B3473">
        <w:rPr>
          <w:rtl/>
        </w:rPr>
        <w:t>في</w:t>
      </w:r>
      <w:proofErr w:type="gramEnd"/>
      <w:r w:rsidRPr="002B3473">
        <w:rPr>
          <w:rtl/>
        </w:rPr>
        <w:t xml:space="preserve"> ما يتعلّق بمرحلة الدمج مقابل مرحلة البرمجة</w:t>
      </w:r>
      <w:r w:rsidR="007D1ADB" w:rsidRPr="002B3473">
        <w:t xml:space="preserve"> </w:t>
      </w:r>
    </w:p>
    <w:tbl>
      <w:tblPr>
        <w:bidiVisual/>
        <w:tblW w:w="9344" w:type="dxa"/>
        <w:tblInd w:w="25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6792"/>
        <w:gridCol w:w="1276"/>
        <w:gridCol w:w="1276"/>
      </w:tblGrid>
      <w:tr w:rsidR="00DC6D21" w:rsidRPr="002B3473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  <w:shd w:val="clear" w:color="auto" w:fill="E9F7CB"/>
          </w:tcPr>
          <w:p w:rsidR="00DC6D21" w:rsidRPr="002B3473" w:rsidRDefault="00DC6D21" w:rsidP="001A2833">
            <w:pPr>
              <w:pStyle w:val="tableheading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  <w:shd w:val="clear" w:color="auto" w:fill="E9F7CB"/>
          </w:tcPr>
          <w:p w:rsidR="00DC6D21" w:rsidRPr="002B3473" w:rsidRDefault="00DC6D21" w:rsidP="001A2833">
            <w:pPr>
              <w:pStyle w:val="tableheading"/>
            </w:pPr>
            <w:proofErr w:type="gramStart"/>
            <w:r w:rsidRPr="002B3473">
              <w:rPr>
                <w:rFonts w:hint="cs"/>
                <w:rtl/>
              </w:rPr>
              <w:t>مرحلة</w:t>
            </w:r>
            <w:proofErr w:type="gramEnd"/>
            <w:r w:rsidRPr="002B3473">
              <w:rPr>
                <w:rFonts w:hint="cs"/>
                <w:rtl/>
              </w:rPr>
              <w:t xml:space="preserve"> </w:t>
            </w:r>
            <w:r w:rsidRPr="002B3473">
              <w:rPr>
                <w:rtl/>
              </w:rPr>
              <w:t>البرمجة</w:t>
            </w:r>
            <w:r w:rsidRPr="002B3473">
              <w:rPr>
                <w:rFonts w:hint="cs"/>
                <w:rtl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/>
          </w:tcPr>
          <w:p w:rsidR="00DC6D21" w:rsidRPr="002B3473" w:rsidRDefault="00DC6D21" w:rsidP="001A2833">
            <w:pPr>
              <w:pStyle w:val="tableheading"/>
            </w:pPr>
            <w:proofErr w:type="gramStart"/>
            <w:r w:rsidRPr="002B3473">
              <w:rPr>
                <w:rFonts w:hint="cs"/>
                <w:rtl/>
              </w:rPr>
              <w:t>مرحلة</w:t>
            </w:r>
            <w:proofErr w:type="gramEnd"/>
            <w:r w:rsidRPr="002B3473">
              <w:rPr>
                <w:rFonts w:hint="cs"/>
                <w:rtl/>
              </w:rPr>
              <w:t xml:space="preserve"> </w:t>
            </w:r>
            <w:r w:rsidRPr="002B3473">
              <w:rPr>
                <w:rtl/>
              </w:rPr>
              <w:t>ال</w:t>
            </w:r>
            <w:r w:rsidRPr="002B3473">
              <w:rPr>
                <w:rFonts w:hint="cs"/>
                <w:rtl/>
              </w:rPr>
              <w:t>دّمج</w:t>
            </w:r>
          </w:p>
        </w:tc>
      </w:tr>
      <w:tr w:rsidR="00CA2C50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CA2C50" w:rsidRPr="002B3473" w:rsidRDefault="00CA2C50" w:rsidP="001A2833">
            <w:pPr>
              <w:pStyle w:val="table"/>
            </w:pPr>
            <w:r w:rsidRPr="002B3473">
              <w:rPr>
                <w:rtl/>
              </w:rPr>
              <w:t>دعم مشروع الرّعاية المنزليّة ل</w:t>
            </w:r>
            <w:r w:rsidR="00DC6D21" w:rsidRPr="002B3473">
              <w:rPr>
                <w:rFonts w:hint="cs"/>
                <w:rtl/>
              </w:rPr>
              <w:t xml:space="preserve">حاملي </w:t>
            </w:r>
            <w:r w:rsidRPr="002B3473">
              <w:rPr>
                <w:rtl/>
              </w:rPr>
              <w:t xml:space="preserve">فيروس </w:t>
            </w:r>
            <w:proofErr w:type="gramStart"/>
            <w:r w:rsidRPr="002B3473">
              <w:rPr>
                <w:rtl/>
              </w:rPr>
              <w:t>نقص</w:t>
            </w:r>
            <w:proofErr w:type="gramEnd"/>
            <w:r w:rsidRPr="002B3473">
              <w:rPr>
                <w:rtl/>
              </w:rPr>
              <w:t xml:space="preserve"> المناعة البشريّة / الإيدز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CA2C50" w:rsidRPr="007D1ADB" w:rsidRDefault="00CA2C50" w:rsidP="00405A54">
            <w:pPr>
              <w:jc w:val="center"/>
              <w:rPr>
                <w:rFonts w:ascii="Wingdings" w:hAnsi="Wingdings"/>
                <w:color w:val="579305" w:themeColor="accent1"/>
                <w:sz w:val="28"/>
              </w:rPr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CA2C50" w:rsidRDefault="00CA2C50" w:rsidP="00405A54">
            <w:pPr>
              <w:jc w:val="center"/>
            </w:pPr>
          </w:p>
        </w:tc>
      </w:tr>
      <w:tr w:rsidR="00244347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244347" w:rsidRPr="002B3473" w:rsidRDefault="00244347" w:rsidP="001A2833">
            <w:pPr>
              <w:pStyle w:val="table"/>
            </w:pPr>
            <w:r w:rsidRPr="002B3473">
              <w:rPr>
                <w:rtl/>
              </w:rPr>
              <w:t xml:space="preserve">تضمن للعاملين الدّعم الكافي </w:t>
            </w:r>
            <w:proofErr w:type="gramStart"/>
            <w:r w:rsidRPr="002B3473">
              <w:rPr>
                <w:rtl/>
              </w:rPr>
              <w:t>عند</w:t>
            </w:r>
            <w:proofErr w:type="gramEnd"/>
            <w:r w:rsidRPr="002B3473">
              <w:rPr>
                <w:rtl/>
              </w:rPr>
              <w:t xml:space="preserve"> حالات العمل الحرجة.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244347" w:rsidRDefault="00244347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244347" w:rsidRDefault="00244347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405A54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405A54" w:rsidRPr="002B3473" w:rsidRDefault="00416D90" w:rsidP="001A2833">
            <w:pPr>
              <w:pStyle w:val="table"/>
            </w:pPr>
            <w:r w:rsidRPr="002B3473">
              <w:rPr>
                <w:rtl/>
              </w:rPr>
              <w:t>تطوير قواعد السّلوك التنظيميّة تتضمن مراجع حول السّلوك الجنسي الاستغلالي أو القسري.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405A54" w:rsidRDefault="00405A54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405A54" w:rsidRDefault="006F280A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7E0465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7E0465" w:rsidRPr="002B3473" w:rsidRDefault="007E0465" w:rsidP="001A2833">
            <w:pPr>
              <w:pStyle w:val="table"/>
            </w:pPr>
            <w:proofErr w:type="gramStart"/>
            <w:r w:rsidRPr="002B3473">
              <w:rPr>
                <w:rtl/>
              </w:rPr>
              <w:t>مراعاة</w:t>
            </w:r>
            <w:proofErr w:type="gramEnd"/>
            <w:r w:rsidRPr="002B3473">
              <w:rPr>
                <w:rtl/>
              </w:rPr>
              <w:t xml:space="preserve"> توقيت العمل والدّراسة ليخوّل للأطراف المعنيّة رعاية أفراد العائلة المرضى.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7E0465" w:rsidRDefault="007E0465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7E0465" w:rsidRDefault="007E0465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7E0465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7E0465" w:rsidRPr="002B3473" w:rsidRDefault="007E0465" w:rsidP="001A2833">
            <w:pPr>
              <w:pStyle w:val="table"/>
            </w:pPr>
            <w:proofErr w:type="gramStart"/>
            <w:r w:rsidRPr="002B3473">
              <w:rPr>
                <w:rtl/>
              </w:rPr>
              <w:t>تنظيم</w:t>
            </w:r>
            <w:proofErr w:type="gramEnd"/>
            <w:r w:rsidRPr="002B3473">
              <w:rPr>
                <w:rtl/>
              </w:rPr>
              <w:t xml:space="preserve"> يوم عالمي للإيدز.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7E0465" w:rsidRDefault="007E0465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7E0465" w:rsidRDefault="007E0465" w:rsidP="00405A54">
            <w:pPr>
              <w:jc w:val="center"/>
            </w:pPr>
          </w:p>
        </w:tc>
      </w:tr>
      <w:tr w:rsidR="007E0465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7E0465" w:rsidRPr="002B3473" w:rsidRDefault="007E0465" w:rsidP="001A2833">
            <w:pPr>
              <w:pStyle w:val="table"/>
            </w:pPr>
            <w:r w:rsidRPr="002B3473">
              <w:rPr>
                <w:rtl/>
              </w:rPr>
              <w:t xml:space="preserve">التّأكّد </w:t>
            </w:r>
            <w:proofErr w:type="gramStart"/>
            <w:r w:rsidRPr="002B3473">
              <w:rPr>
                <w:rtl/>
              </w:rPr>
              <w:t>من</w:t>
            </w:r>
            <w:proofErr w:type="gramEnd"/>
            <w:r w:rsidRPr="002B3473">
              <w:rPr>
                <w:rtl/>
              </w:rPr>
              <w:t xml:space="preserve"> أنّ المراحيض وإمدادات المياه ليست موجودة في مناطق معزولة خاصّة في مشاريع البناء.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7E0465" w:rsidRDefault="007E0465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7E0465" w:rsidRDefault="007E0465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7E0465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7E0465" w:rsidRPr="002B3473" w:rsidRDefault="00961584" w:rsidP="001A2833">
            <w:pPr>
              <w:pStyle w:val="table"/>
            </w:pPr>
            <w:r w:rsidRPr="002B3473">
              <w:rPr>
                <w:rtl/>
              </w:rPr>
              <w:t>توفير التّمويل لتغطية مصاريف الدّراسة لفائدة الأيتام المصابين بالإيدز.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7E0465" w:rsidRDefault="007E0465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7E0465" w:rsidRDefault="007E0465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7E0465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1A2833" w:rsidRDefault="00244347" w:rsidP="001A2833">
            <w:pPr>
              <w:pStyle w:val="table"/>
              <w:rPr>
                <w:rtl/>
              </w:rPr>
            </w:pPr>
            <w:r w:rsidRPr="002B3473">
              <w:rPr>
                <w:rtl/>
              </w:rPr>
              <w:t xml:space="preserve">تقديم محاضرات حول الأعمال التّي تقوم بها منظّمتك فيما يتعلّق بمرض </w:t>
            </w:r>
            <w:proofErr w:type="gramStart"/>
            <w:r w:rsidRPr="002B3473">
              <w:rPr>
                <w:rtl/>
              </w:rPr>
              <w:t>نقص</w:t>
            </w:r>
            <w:proofErr w:type="gramEnd"/>
            <w:r w:rsidRPr="002B3473">
              <w:rPr>
                <w:rtl/>
              </w:rPr>
              <w:t xml:space="preserve"> المناعة</w:t>
            </w:r>
          </w:p>
          <w:p w:rsidR="007E0465" w:rsidRPr="002B3473" w:rsidRDefault="00244347" w:rsidP="001A2833">
            <w:pPr>
              <w:pStyle w:val="table"/>
            </w:pPr>
            <w:proofErr w:type="gramStart"/>
            <w:r w:rsidRPr="002B3473">
              <w:rPr>
                <w:rtl/>
              </w:rPr>
              <w:t>البشريّة</w:t>
            </w:r>
            <w:proofErr w:type="gramEnd"/>
            <w:r w:rsidRPr="002B3473">
              <w:rPr>
                <w:rtl/>
              </w:rPr>
              <w:t xml:space="preserve"> / الإيدز.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7E0465" w:rsidRDefault="007E0465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7E0465" w:rsidRDefault="007E0465" w:rsidP="00405A54">
            <w:pPr>
              <w:jc w:val="center"/>
            </w:pPr>
          </w:p>
        </w:tc>
      </w:tr>
      <w:tr w:rsidR="007E0465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7E0465" w:rsidRPr="002B3473" w:rsidRDefault="00E93D5C" w:rsidP="001A2833">
            <w:pPr>
              <w:pStyle w:val="table"/>
            </w:pPr>
            <w:proofErr w:type="gramStart"/>
            <w:r w:rsidRPr="002B3473">
              <w:rPr>
                <w:rFonts w:hint="cs"/>
                <w:rtl/>
              </w:rPr>
              <w:t>البحث</w:t>
            </w:r>
            <w:proofErr w:type="gramEnd"/>
            <w:r w:rsidRPr="002B3473">
              <w:rPr>
                <w:rFonts w:hint="cs"/>
                <w:rtl/>
              </w:rPr>
              <w:t xml:space="preserve"> عن عيادة صحيّة محليّة توفّر الفحص الطّبي والإرشاد النّفسي حول مرض</w:t>
            </w:r>
            <w:r w:rsidRPr="002B3473">
              <w:rPr>
                <w:rtl/>
              </w:rPr>
              <w:t xml:space="preserve"> نقص المناعة البشريّة / الإيدز.</w:t>
            </w:r>
            <w:r w:rsidRPr="002B3473">
              <w:rPr>
                <w:rFonts w:hint="cs"/>
                <w:rtl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7E0465" w:rsidRDefault="007E0465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7E0465" w:rsidRDefault="007E0465" w:rsidP="00405A54">
            <w:pPr>
              <w:jc w:val="center"/>
            </w:pPr>
          </w:p>
        </w:tc>
      </w:tr>
      <w:tr w:rsidR="00901034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901034" w:rsidRPr="002B3473" w:rsidRDefault="00901034" w:rsidP="001A2833">
            <w:pPr>
              <w:pStyle w:val="table"/>
            </w:pPr>
            <w:r w:rsidRPr="002B3473">
              <w:rPr>
                <w:rtl/>
              </w:rPr>
              <w:t xml:space="preserve">ضمان حقّ </w:t>
            </w:r>
            <w:proofErr w:type="gramStart"/>
            <w:r w:rsidRPr="002B3473">
              <w:rPr>
                <w:rtl/>
              </w:rPr>
              <w:t>تتبّع</w:t>
            </w:r>
            <w:proofErr w:type="gramEnd"/>
            <w:r w:rsidRPr="002B3473">
              <w:rPr>
                <w:rtl/>
              </w:rPr>
              <w:t xml:space="preserve"> النّساء والرّجال لقرارات منفّ</w:t>
            </w:r>
            <w:r w:rsidRPr="002B3473">
              <w:rPr>
                <w:rFonts w:hint="cs"/>
                <w:rtl/>
              </w:rPr>
              <w:t>ذ</w:t>
            </w:r>
            <w:r w:rsidRPr="002B3473">
              <w:rPr>
                <w:rtl/>
              </w:rPr>
              <w:t>ي البرامج.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901034" w:rsidRDefault="00901034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901034" w:rsidRDefault="00901034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7E0465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7E0465" w:rsidRPr="002B3473" w:rsidRDefault="00387049" w:rsidP="001A2833">
            <w:pPr>
              <w:pStyle w:val="table"/>
            </w:pPr>
            <w:r w:rsidRPr="002B3473">
              <w:rPr>
                <w:rtl/>
              </w:rPr>
              <w:t>وضع خطط طارئة لتطبيقها في أماكن العمل بهدف التّغلّب على ارتفاع م</w:t>
            </w:r>
            <w:r w:rsidR="00CF7311" w:rsidRPr="002B3473">
              <w:rPr>
                <w:rFonts w:hint="cs"/>
                <w:rtl/>
              </w:rPr>
              <w:t>س</w:t>
            </w:r>
            <w:r w:rsidRPr="002B3473">
              <w:rPr>
                <w:rtl/>
              </w:rPr>
              <w:t>توى التّغيّب والمهارات المحدودة</w:t>
            </w:r>
            <w:r w:rsidRPr="002B3473">
              <w:rPr>
                <w:rFonts w:hint="cs"/>
                <w:rtl/>
              </w:rPr>
              <w:t>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7E0465" w:rsidRDefault="007E0465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7E0465" w:rsidRDefault="007E0465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7E0465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7E0465" w:rsidRPr="002B3473" w:rsidRDefault="00387049" w:rsidP="001A2833">
            <w:pPr>
              <w:pStyle w:val="table"/>
            </w:pPr>
            <w:proofErr w:type="gramStart"/>
            <w:r w:rsidRPr="002B3473">
              <w:rPr>
                <w:rtl/>
              </w:rPr>
              <w:t>توزيع</w:t>
            </w:r>
            <w:proofErr w:type="gramEnd"/>
            <w:r w:rsidRPr="002B3473">
              <w:rPr>
                <w:rtl/>
              </w:rPr>
              <w:t xml:space="preserve"> أدوات نظافة إضافيّة على الأّسر التّي تحتوي على أشخاص مصابين بأمراض مزمنة</w:t>
            </w:r>
            <w:r w:rsidRPr="002B3473">
              <w:rPr>
                <w:rFonts w:hint="cs"/>
                <w:rtl/>
              </w:rPr>
              <w:t>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7E0465" w:rsidRDefault="007E0465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7E0465" w:rsidRDefault="007E0465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387049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387049" w:rsidRPr="002B3473" w:rsidRDefault="00387049" w:rsidP="001A2833">
            <w:pPr>
              <w:pStyle w:val="table"/>
            </w:pPr>
            <w:proofErr w:type="gramStart"/>
            <w:r w:rsidRPr="002B3473">
              <w:rPr>
                <w:rtl/>
              </w:rPr>
              <w:t>توزيع</w:t>
            </w:r>
            <w:proofErr w:type="gramEnd"/>
            <w:r w:rsidRPr="002B3473">
              <w:rPr>
                <w:rtl/>
              </w:rPr>
              <w:t xml:space="preserve"> </w:t>
            </w:r>
            <w:r w:rsidRPr="002B3473">
              <w:rPr>
                <w:rFonts w:hint="cs"/>
                <w:rtl/>
              </w:rPr>
              <w:t xml:space="preserve">حصص غذائيّة </w:t>
            </w:r>
            <w:r w:rsidRPr="002B3473">
              <w:rPr>
                <w:rtl/>
              </w:rPr>
              <w:t>إضافيّة على الأّسر التّي تحتوي على أشخاص مصابين بأمراض مزمنة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387049" w:rsidRDefault="00387049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387049" w:rsidRDefault="00387049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387049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387049" w:rsidRPr="002B3473" w:rsidRDefault="00B2721E" w:rsidP="001A2833">
            <w:pPr>
              <w:pStyle w:val="table"/>
            </w:pPr>
            <w:r w:rsidRPr="002B3473">
              <w:rPr>
                <w:rtl/>
              </w:rPr>
              <w:t xml:space="preserve">توفير التّسهيلات اللاّزمة للحصول على الماء بهدف </w:t>
            </w:r>
            <w:proofErr w:type="gramStart"/>
            <w:r w:rsidRPr="002B3473">
              <w:rPr>
                <w:rtl/>
              </w:rPr>
              <w:t>مساعدة</w:t>
            </w:r>
            <w:proofErr w:type="gramEnd"/>
            <w:r w:rsidRPr="002B3473">
              <w:rPr>
                <w:rtl/>
              </w:rPr>
              <w:t xml:space="preserve"> ال</w:t>
            </w:r>
            <w:r w:rsidRPr="002B3473">
              <w:rPr>
                <w:rFonts w:hint="cs"/>
                <w:rtl/>
              </w:rPr>
              <w:t xml:space="preserve">مشرفين على </w:t>
            </w:r>
            <w:r w:rsidRPr="002B3473">
              <w:rPr>
                <w:rtl/>
              </w:rPr>
              <w:t xml:space="preserve">المصابين بأمراض مزمنة. 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387049" w:rsidRDefault="00387049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387049" w:rsidRDefault="00387049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387049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387049" w:rsidRPr="002B3473" w:rsidRDefault="00B2721E" w:rsidP="001A2833">
            <w:pPr>
              <w:pStyle w:val="table"/>
            </w:pPr>
            <w:r w:rsidRPr="002B3473">
              <w:rPr>
                <w:rFonts w:hint="cs"/>
                <w:rtl/>
              </w:rPr>
              <w:t xml:space="preserve">ضبط </w:t>
            </w:r>
            <w:proofErr w:type="gramStart"/>
            <w:r w:rsidRPr="002B3473">
              <w:rPr>
                <w:rFonts w:hint="cs"/>
                <w:rtl/>
              </w:rPr>
              <w:t>وقت</w:t>
            </w:r>
            <w:proofErr w:type="gramEnd"/>
            <w:r w:rsidRPr="002B3473">
              <w:rPr>
                <w:rFonts w:hint="cs"/>
                <w:rtl/>
              </w:rPr>
              <w:t xml:space="preserve"> الاجتماعات ليتناسب مع </w:t>
            </w:r>
            <w:r w:rsidRPr="002B3473">
              <w:rPr>
                <w:rtl/>
              </w:rPr>
              <w:t>ال</w:t>
            </w:r>
            <w:r w:rsidRPr="002B3473">
              <w:rPr>
                <w:rFonts w:hint="cs"/>
                <w:rtl/>
              </w:rPr>
              <w:t>مشرفين على</w:t>
            </w:r>
            <w:r w:rsidR="00CF7311" w:rsidRPr="002B3473">
              <w:rPr>
                <w:rFonts w:hint="cs"/>
                <w:rtl/>
              </w:rPr>
              <w:t xml:space="preserve"> المصابين ب</w:t>
            </w:r>
            <w:r w:rsidR="00AA7696" w:rsidRPr="002B3473">
              <w:rPr>
                <w:rFonts w:hint="cs"/>
                <w:rtl/>
              </w:rPr>
              <w:t>أمراض مزمنة.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387049" w:rsidRDefault="00387049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387049" w:rsidRDefault="00387049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AA7696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AA7696" w:rsidRPr="002B3473" w:rsidRDefault="00AA7696" w:rsidP="001A2833">
            <w:pPr>
              <w:pStyle w:val="table"/>
            </w:pPr>
            <w:r w:rsidRPr="002B3473">
              <w:rPr>
                <w:rtl/>
              </w:rPr>
              <w:t xml:space="preserve">تثبيت مضخات مياه تتناسب مع الأشخاص الذين يعانون </w:t>
            </w:r>
            <w:proofErr w:type="gramStart"/>
            <w:r w:rsidRPr="002B3473">
              <w:rPr>
                <w:rtl/>
              </w:rPr>
              <w:t>من</w:t>
            </w:r>
            <w:proofErr w:type="gramEnd"/>
            <w:r w:rsidRPr="002B3473">
              <w:rPr>
                <w:rtl/>
              </w:rPr>
              <w:t xml:space="preserve"> ضعف البنية الجسديّة.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AA7696" w:rsidRDefault="00AA7696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AA7696" w:rsidRDefault="00AA7696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387049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387049" w:rsidRPr="002B3473" w:rsidRDefault="00AA7696" w:rsidP="001A2833">
            <w:pPr>
              <w:pStyle w:val="table"/>
            </w:pPr>
            <w:r w:rsidRPr="002B3473">
              <w:rPr>
                <w:rtl/>
              </w:rPr>
              <w:t xml:space="preserve">مكافحة التمييز </w:t>
            </w:r>
            <w:r w:rsidR="006121E1" w:rsidRPr="002B3473">
              <w:rPr>
                <w:rtl/>
              </w:rPr>
              <w:t>بين المصابين ب</w:t>
            </w:r>
            <w:r w:rsidRPr="002B3473">
              <w:rPr>
                <w:rtl/>
              </w:rPr>
              <w:t>فيروس نقص المناعة البشرية /</w:t>
            </w:r>
            <w:r w:rsidR="006121E1" w:rsidRPr="002B3473">
              <w:rPr>
                <w:rtl/>
              </w:rPr>
              <w:t xml:space="preserve">ايدز وغيرهم </w:t>
            </w:r>
            <w:r w:rsidRPr="002B3473">
              <w:rPr>
                <w:rtl/>
              </w:rPr>
              <w:t xml:space="preserve"> في المدارس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387049" w:rsidRDefault="00387049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387049" w:rsidRDefault="00387049" w:rsidP="00405A54">
            <w:pPr>
              <w:jc w:val="center"/>
            </w:pPr>
          </w:p>
        </w:tc>
      </w:tr>
      <w:tr w:rsidR="00387049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387049" w:rsidRPr="002B3473" w:rsidRDefault="006121E1" w:rsidP="001A2833">
            <w:pPr>
              <w:pStyle w:val="table"/>
            </w:pPr>
            <w:r w:rsidRPr="002B3473">
              <w:rPr>
                <w:rtl/>
              </w:rPr>
              <w:t xml:space="preserve">دعم العاملين في مناطق صعبة </w:t>
            </w:r>
            <w:proofErr w:type="gramStart"/>
            <w:r w:rsidRPr="002B3473">
              <w:rPr>
                <w:rtl/>
              </w:rPr>
              <w:t>لتجنّب</w:t>
            </w:r>
            <w:proofErr w:type="gramEnd"/>
            <w:r w:rsidRPr="002B3473">
              <w:rPr>
                <w:rtl/>
              </w:rPr>
              <w:t xml:space="preserve"> السّلوك المدمّر والذّي يعرّض للخطر.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387049" w:rsidRDefault="00387049" w:rsidP="00405A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387049" w:rsidRDefault="00387049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</w:tr>
      <w:tr w:rsidR="00387049" w:rsidTr="00E247AB">
        <w:tc>
          <w:tcPr>
            <w:tcW w:w="6792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:rsidR="00387049" w:rsidRPr="002B3473" w:rsidRDefault="00901034" w:rsidP="001A2833">
            <w:pPr>
              <w:pStyle w:val="table"/>
            </w:pPr>
            <w:r w:rsidRPr="002B3473">
              <w:rPr>
                <w:rtl/>
              </w:rPr>
              <w:t xml:space="preserve">تنظيم </w:t>
            </w:r>
            <w:r w:rsidR="00DC6D21" w:rsidRPr="002B3473">
              <w:rPr>
                <w:rtl/>
              </w:rPr>
              <w:t>محادثات تتعلّق بمرض</w:t>
            </w:r>
            <w:r w:rsidR="00387049" w:rsidRPr="002B3473">
              <w:t xml:space="preserve"> </w:t>
            </w:r>
            <w:r w:rsidR="00DC6D21" w:rsidRPr="002B3473">
              <w:rPr>
                <w:rtl/>
              </w:rPr>
              <w:t xml:space="preserve"> الايدز لتوعية المستف</w:t>
            </w:r>
            <w:r w:rsidR="00CF7311" w:rsidRPr="002B3473">
              <w:rPr>
                <w:rFonts w:hint="cs"/>
                <w:rtl/>
              </w:rPr>
              <w:t>ي</w:t>
            </w:r>
            <w:r w:rsidR="00DC6D21" w:rsidRPr="002B3473">
              <w:rPr>
                <w:rtl/>
              </w:rPr>
              <w:t>دين في مناطق التّوزيع.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:rsidR="00387049" w:rsidRDefault="00387049" w:rsidP="00405A54">
            <w:pPr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</w:rPr>
              <w:t></w:t>
            </w:r>
          </w:p>
        </w:tc>
        <w:tc>
          <w:tcPr>
            <w:tcW w:w="1276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:rsidR="00387049" w:rsidRDefault="00387049" w:rsidP="00405A54">
            <w:pPr>
              <w:jc w:val="center"/>
            </w:pPr>
          </w:p>
        </w:tc>
      </w:tr>
    </w:tbl>
    <w:p w:rsidR="00171851" w:rsidRPr="002B3473" w:rsidRDefault="00677000" w:rsidP="00981951">
      <w:pPr>
        <w:pStyle w:val="Heading3"/>
      </w:pPr>
      <w:r w:rsidRPr="002B3473">
        <w:rPr>
          <w:rtl/>
        </w:rPr>
        <w:lastRenderedPageBreak/>
        <w:t xml:space="preserve">المراجع الخاصة بمواضيع </w:t>
      </w:r>
      <w:proofErr w:type="spellStart"/>
      <w:r w:rsidRPr="002B3473">
        <w:rPr>
          <w:rtl/>
        </w:rPr>
        <w:t>اسفير</w:t>
      </w:r>
      <w:proofErr w:type="spellEnd"/>
      <w:r w:rsidRPr="002B3473">
        <w:rPr>
          <w:rtl/>
        </w:rPr>
        <w:t xml:space="preserve"> المتشعبة</w:t>
      </w:r>
      <w:r w:rsidR="00DB5B46">
        <w:rPr>
          <w:rtl/>
        </w:rPr>
        <w:t xml:space="preserve"> والم</w:t>
      </w:r>
      <w:r w:rsidR="00981951">
        <w:rPr>
          <w:rFonts w:hint="cs"/>
          <w:rtl/>
        </w:rPr>
        <w:t>بادرات</w:t>
      </w:r>
      <w:r w:rsidR="00DB5B46">
        <w:rPr>
          <w:rtl/>
        </w:rPr>
        <w:t xml:space="preserve"> الأربعة المرافقة له</w:t>
      </w:r>
    </w:p>
    <w:p w:rsidR="0018406B" w:rsidRPr="002B3473" w:rsidRDefault="0018406B" w:rsidP="001A2833">
      <w:pPr>
        <w:pStyle w:val="Heading4"/>
        <w:rPr>
          <w:rtl/>
        </w:rPr>
      </w:pPr>
      <w:r w:rsidRPr="002B3473">
        <w:rPr>
          <w:rtl/>
        </w:rPr>
        <w:t>دليل اسفير</w:t>
      </w:r>
    </w:p>
    <w:p w:rsidR="0018406B" w:rsidRPr="002B3473" w:rsidRDefault="0018406B" w:rsidP="001A2833">
      <w:pPr>
        <w:pStyle w:val="bullet"/>
      </w:pPr>
      <w:r w:rsidRPr="002B3473">
        <w:rPr>
          <w:rtl/>
        </w:rPr>
        <w:t xml:space="preserve">المواضيع المتشعّبة الثّمانية (صفحة </w:t>
      </w:r>
      <w:r w:rsidRPr="00DA038C">
        <w:rPr>
          <w:sz w:val="22"/>
          <w:szCs w:val="24"/>
          <w:rtl/>
        </w:rPr>
        <w:t>13</w:t>
      </w:r>
      <w:r w:rsidRPr="002B3473">
        <w:rPr>
          <w:rtl/>
        </w:rPr>
        <w:t>)</w:t>
      </w:r>
    </w:p>
    <w:p w:rsidR="00D02CAC" w:rsidRPr="002B3473" w:rsidRDefault="00DC6D21" w:rsidP="001A2833">
      <w:pPr>
        <w:pStyle w:val="bullet"/>
      </w:pPr>
      <w:r w:rsidRPr="002B3473">
        <w:rPr>
          <w:rFonts w:hint="cs"/>
          <w:rtl/>
        </w:rPr>
        <w:t xml:space="preserve">مبادئ الحماية(صفحة </w:t>
      </w:r>
      <w:r w:rsidRPr="00DA038C">
        <w:rPr>
          <w:rFonts w:hint="cs"/>
          <w:sz w:val="22"/>
          <w:szCs w:val="24"/>
          <w:rtl/>
        </w:rPr>
        <w:t>23</w:t>
      </w:r>
      <w:r w:rsidRPr="002B3473">
        <w:rPr>
          <w:rFonts w:hint="cs"/>
          <w:rtl/>
        </w:rPr>
        <w:t>)</w:t>
      </w:r>
    </w:p>
    <w:p w:rsidR="00DC6D21" w:rsidRPr="002B3473" w:rsidRDefault="00DC6D21" w:rsidP="00DA038C">
      <w:pPr>
        <w:pStyle w:val="bullet"/>
      </w:pPr>
      <w:r w:rsidRPr="002B3473">
        <w:rPr>
          <w:rFonts w:hint="cs"/>
          <w:rtl/>
        </w:rPr>
        <w:t>المعايير الانسانيّة والملاحظ</w:t>
      </w:r>
      <w:r w:rsidR="00CF7311" w:rsidRPr="002B3473">
        <w:rPr>
          <w:rFonts w:hint="cs"/>
          <w:rtl/>
        </w:rPr>
        <w:t>ا</w:t>
      </w:r>
      <w:r w:rsidRPr="002B3473">
        <w:rPr>
          <w:rFonts w:hint="cs"/>
          <w:rtl/>
        </w:rPr>
        <w:t>ت الارشاديّة</w:t>
      </w:r>
      <w:r w:rsidR="00CF7311" w:rsidRPr="002B3473">
        <w:rPr>
          <w:rFonts w:hint="cs"/>
          <w:rtl/>
        </w:rPr>
        <w:t xml:space="preserve"> </w:t>
      </w:r>
      <w:r w:rsidRPr="00DA038C">
        <w:rPr>
          <w:rFonts w:hint="cs"/>
          <w:sz w:val="28"/>
          <w:szCs w:val="32"/>
          <w:rtl/>
        </w:rPr>
        <w:t>(</w:t>
      </w:r>
      <w:r w:rsidRPr="00DA038C">
        <w:rPr>
          <w:rFonts w:hint="cs"/>
          <w:rtl/>
        </w:rPr>
        <w:t>صفحة</w:t>
      </w:r>
      <w:r w:rsidR="00DA038C">
        <w:rPr>
          <w:rFonts w:hint="cs"/>
          <w:rtl/>
        </w:rPr>
        <w:t xml:space="preserve"> </w:t>
      </w:r>
      <w:r w:rsidRPr="00DA038C">
        <w:rPr>
          <w:rFonts w:hint="cs"/>
          <w:sz w:val="22"/>
          <w:szCs w:val="24"/>
          <w:rtl/>
        </w:rPr>
        <w:t>45</w:t>
      </w:r>
      <w:r w:rsidR="00DA038C">
        <w:rPr>
          <w:rFonts w:hint="cs"/>
          <w:rtl/>
        </w:rPr>
        <w:t>)</w:t>
      </w:r>
    </w:p>
    <w:p w:rsidR="00DC6D21" w:rsidRPr="002B3473" w:rsidRDefault="00DC6D21" w:rsidP="00DA038C">
      <w:pPr>
        <w:pStyle w:val="bullet"/>
      </w:pPr>
      <w:r w:rsidRPr="002B3473">
        <w:rPr>
          <w:rFonts w:hint="cs"/>
          <w:rtl/>
        </w:rPr>
        <w:t>الفصول التّقن</w:t>
      </w:r>
      <w:r w:rsidR="00CF7311" w:rsidRPr="002B3473">
        <w:rPr>
          <w:rFonts w:hint="cs"/>
          <w:rtl/>
        </w:rPr>
        <w:t>يّة والملاحظات الارشاديّة (صفحات</w:t>
      </w:r>
      <w:r w:rsidR="001B2C0A" w:rsidRPr="002B3473">
        <w:rPr>
          <w:rFonts w:hint="cs"/>
          <w:rtl/>
        </w:rPr>
        <w:t xml:space="preserve"> </w:t>
      </w:r>
      <w:r w:rsidR="001B2C0A" w:rsidRPr="00DA038C">
        <w:rPr>
          <w:rFonts w:hint="cs"/>
          <w:sz w:val="22"/>
          <w:szCs w:val="24"/>
          <w:rtl/>
        </w:rPr>
        <w:t>76</w:t>
      </w:r>
      <w:r w:rsidR="001B2C0A" w:rsidRPr="002B3473">
        <w:rPr>
          <w:rFonts w:hint="cs"/>
          <w:rtl/>
        </w:rPr>
        <w:t xml:space="preserve"> </w:t>
      </w:r>
      <w:r w:rsidR="001B2C0A" w:rsidRPr="00DA038C">
        <w:rPr>
          <w:rFonts w:hint="cs"/>
          <w:rtl/>
        </w:rPr>
        <w:t>و</w:t>
      </w:r>
      <w:r w:rsidR="001B2C0A" w:rsidRPr="00DA038C">
        <w:rPr>
          <w:rFonts w:hint="cs"/>
          <w:sz w:val="22"/>
          <w:szCs w:val="24"/>
          <w:rtl/>
        </w:rPr>
        <w:t xml:space="preserve">134 </w:t>
      </w:r>
      <w:r w:rsidR="00DA038C">
        <w:rPr>
          <w:rFonts w:hint="cs"/>
          <w:sz w:val="22"/>
          <w:szCs w:val="24"/>
          <w:rtl/>
        </w:rPr>
        <w:t xml:space="preserve"> </w:t>
      </w:r>
      <w:r w:rsidR="00DA038C" w:rsidRPr="00DA038C">
        <w:rPr>
          <w:rFonts w:hint="cs"/>
          <w:rtl/>
        </w:rPr>
        <w:t>و</w:t>
      </w:r>
      <w:r w:rsidR="00DA038C">
        <w:rPr>
          <w:rFonts w:hint="cs"/>
          <w:sz w:val="22"/>
          <w:szCs w:val="24"/>
          <w:rtl/>
        </w:rPr>
        <w:t xml:space="preserve">230 </w:t>
      </w:r>
      <w:r w:rsidR="00DA038C" w:rsidRPr="00DA038C">
        <w:rPr>
          <w:rFonts w:hint="cs"/>
          <w:sz w:val="22"/>
          <w:szCs w:val="24"/>
          <w:rtl/>
        </w:rPr>
        <w:t xml:space="preserve"> </w:t>
      </w:r>
      <w:r w:rsidR="00DA038C">
        <w:rPr>
          <w:rFonts w:hint="cs"/>
          <w:sz w:val="22"/>
          <w:szCs w:val="24"/>
          <w:rtl/>
        </w:rPr>
        <w:t>و</w:t>
      </w:r>
      <w:r w:rsidR="001B2C0A" w:rsidRPr="00DA038C">
        <w:rPr>
          <w:rFonts w:hint="cs"/>
          <w:sz w:val="22"/>
          <w:szCs w:val="24"/>
          <w:rtl/>
        </w:rPr>
        <w:t>274</w:t>
      </w:r>
      <w:r w:rsidR="001B2C0A" w:rsidRPr="002B3473">
        <w:rPr>
          <w:rFonts w:hint="cs"/>
          <w:rtl/>
        </w:rPr>
        <w:t>)</w:t>
      </w:r>
    </w:p>
    <w:p w:rsidR="001A2833" w:rsidRDefault="001B2C0A" w:rsidP="001A2833">
      <w:pPr>
        <w:pStyle w:val="Heading4"/>
        <w:rPr>
          <w:rtl/>
        </w:rPr>
      </w:pPr>
      <w:r w:rsidRPr="002B3473">
        <w:rPr>
          <w:rFonts w:hint="cs"/>
          <w:rtl/>
        </w:rPr>
        <w:t>دليل المعايير الدّنيا لحماية الطّفل في مجال العمل الإنساني</w:t>
      </w:r>
    </w:p>
    <w:p w:rsidR="00171851" w:rsidRPr="002B3473" w:rsidRDefault="00E25637" w:rsidP="001A2833">
      <w:pPr>
        <w:pStyle w:val="bullet"/>
      </w:pPr>
      <w:r w:rsidRPr="002B3473">
        <w:rPr>
          <w:rtl/>
        </w:rPr>
        <w:t xml:space="preserve">وقع </w:t>
      </w:r>
      <w:proofErr w:type="gramStart"/>
      <w:r w:rsidRPr="002B3473">
        <w:rPr>
          <w:rtl/>
        </w:rPr>
        <w:t>ضمّ</w:t>
      </w:r>
      <w:proofErr w:type="gramEnd"/>
      <w:r w:rsidRPr="002B3473">
        <w:rPr>
          <w:rtl/>
        </w:rPr>
        <w:t xml:space="preserve"> هذه </w:t>
      </w:r>
      <w:r w:rsidR="00763566">
        <w:rPr>
          <w:rtl/>
        </w:rPr>
        <w:t>المواضيع المتشعّبة في الد</w:t>
      </w:r>
      <w:r w:rsidR="00CF7311" w:rsidRPr="002B3473">
        <w:rPr>
          <w:rtl/>
        </w:rPr>
        <w:t>ليل</w:t>
      </w:r>
      <w:r w:rsidR="00CF7311" w:rsidRPr="002B3473">
        <w:rPr>
          <w:rFonts w:hint="cs"/>
          <w:rtl/>
        </w:rPr>
        <w:t>.</w:t>
      </w:r>
    </w:p>
    <w:p w:rsidR="00E25637" w:rsidRPr="002B3473" w:rsidRDefault="00CE4CBC" w:rsidP="001A2833">
      <w:pPr>
        <w:pStyle w:val="bullet"/>
      </w:pPr>
      <w:r w:rsidRPr="002B3473">
        <w:rPr>
          <w:rtl/>
        </w:rPr>
        <w:t xml:space="preserve">الطّفل: الموضوع </w:t>
      </w:r>
      <w:proofErr w:type="gramStart"/>
      <w:r w:rsidRPr="002B3473">
        <w:rPr>
          <w:rtl/>
        </w:rPr>
        <w:t>الرّئيسي</w:t>
      </w:r>
      <w:proofErr w:type="gramEnd"/>
      <w:r w:rsidRPr="002B3473">
        <w:rPr>
          <w:rtl/>
        </w:rPr>
        <w:t xml:space="preserve"> لهذا الدليل المتعلّق بالمبادرة.</w:t>
      </w:r>
    </w:p>
    <w:p w:rsidR="00CE4CBC" w:rsidRPr="002B3473" w:rsidRDefault="00CE4CBC" w:rsidP="001A2833">
      <w:pPr>
        <w:pStyle w:val="bullet"/>
      </w:pPr>
      <w:r w:rsidRPr="002B3473">
        <w:rPr>
          <w:rtl/>
        </w:rPr>
        <w:t xml:space="preserve">الجانب النّفسي: المعيار </w:t>
      </w:r>
      <w:r w:rsidRPr="00DA038C">
        <w:rPr>
          <w:sz w:val="22"/>
          <w:szCs w:val="24"/>
          <w:rtl/>
        </w:rPr>
        <w:t>10</w:t>
      </w:r>
      <w:r w:rsidRPr="002B3473">
        <w:rPr>
          <w:rtl/>
        </w:rPr>
        <w:t xml:space="preserve"> (صفحة</w:t>
      </w:r>
      <w:r w:rsidR="00DA038C">
        <w:rPr>
          <w:rFonts w:hint="cs"/>
          <w:rtl/>
        </w:rPr>
        <w:t xml:space="preserve"> </w:t>
      </w:r>
      <w:r w:rsidRPr="00DA038C">
        <w:rPr>
          <w:sz w:val="22"/>
          <w:szCs w:val="24"/>
          <w:rtl/>
        </w:rPr>
        <w:t>97</w:t>
      </w:r>
      <w:r w:rsidRPr="002B3473">
        <w:rPr>
          <w:rtl/>
        </w:rPr>
        <w:t>)</w:t>
      </w:r>
    </w:p>
    <w:p w:rsidR="003A1713" w:rsidRPr="002B3473" w:rsidRDefault="00CE4CBC" w:rsidP="001A2833">
      <w:pPr>
        <w:pStyle w:val="bullet"/>
      </w:pPr>
      <w:r w:rsidRPr="002B3473">
        <w:rPr>
          <w:rtl/>
        </w:rPr>
        <w:t>الحماية:</w:t>
      </w:r>
      <w:r w:rsidR="00763566">
        <w:rPr>
          <w:rFonts w:hint="cs"/>
          <w:rtl/>
        </w:rPr>
        <w:t xml:space="preserve"> </w:t>
      </w:r>
      <w:proofErr w:type="gramStart"/>
      <w:r w:rsidRPr="002B3473">
        <w:rPr>
          <w:rtl/>
        </w:rPr>
        <w:t>المبادئ</w:t>
      </w:r>
      <w:proofErr w:type="gramEnd"/>
      <w:r w:rsidRPr="002B3473">
        <w:rPr>
          <w:rtl/>
        </w:rPr>
        <w:t xml:space="preserve"> والمقاربات (صفحة </w:t>
      </w:r>
      <w:r w:rsidRPr="00DA038C">
        <w:rPr>
          <w:sz w:val="22"/>
          <w:szCs w:val="24"/>
          <w:rtl/>
        </w:rPr>
        <w:t>27</w:t>
      </w:r>
      <w:r w:rsidRPr="002B3473">
        <w:rPr>
          <w:rtl/>
        </w:rPr>
        <w:t>)</w:t>
      </w:r>
    </w:p>
    <w:p w:rsidR="001A2833" w:rsidRDefault="003A1713" w:rsidP="001A2833">
      <w:pPr>
        <w:pStyle w:val="bullet"/>
      </w:pPr>
      <w:r w:rsidRPr="002B3473">
        <w:rPr>
          <w:rtl/>
        </w:rPr>
        <w:t>الحد من المخاطر</w:t>
      </w:r>
      <w:r w:rsidR="00430D40" w:rsidRPr="002B3473">
        <w:rPr>
          <w:rtl/>
        </w:rPr>
        <w:t>:</w:t>
      </w:r>
      <w:r w:rsidRPr="002B3473">
        <w:rPr>
          <w:rtl/>
        </w:rPr>
        <w:t xml:space="preserve"> الإطار الزمني(صفحة </w:t>
      </w:r>
      <w:r w:rsidRPr="00DA038C">
        <w:rPr>
          <w:sz w:val="22"/>
          <w:szCs w:val="24"/>
          <w:rtl/>
        </w:rPr>
        <w:t>16</w:t>
      </w:r>
      <w:r w:rsidRPr="002B3473">
        <w:rPr>
          <w:rtl/>
        </w:rPr>
        <w:t>) وتدابير</w:t>
      </w:r>
      <w:r w:rsidRPr="002B3473">
        <w:t xml:space="preserve"> </w:t>
      </w:r>
      <w:r w:rsidRPr="002B3473">
        <w:rPr>
          <w:rtl/>
        </w:rPr>
        <w:t>الحدّ</w:t>
      </w:r>
      <w:r w:rsidRPr="002B3473">
        <w:t xml:space="preserve"> </w:t>
      </w:r>
      <w:r w:rsidRPr="002B3473">
        <w:rPr>
          <w:rtl/>
        </w:rPr>
        <w:t xml:space="preserve">من مخاطر الكوارث(صفحة </w:t>
      </w:r>
      <w:r w:rsidRPr="00DA038C">
        <w:rPr>
          <w:sz w:val="22"/>
          <w:szCs w:val="24"/>
          <w:rtl/>
        </w:rPr>
        <w:t>23</w:t>
      </w:r>
      <w:r w:rsidRPr="002B3473">
        <w:rPr>
          <w:rtl/>
        </w:rPr>
        <w:t>) والمعيار</w:t>
      </w:r>
      <w:r w:rsidR="00CF7311" w:rsidRPr="002B3473">
        <w:rPr>
          <w:rFonts w:hint="cs"/>
          <w:rtl/>
        </w:rPr>
        <w:t xml:space="preserve"> رقم</w:t>
      </w:r>
      <w:r w:rsidRPr="002B3473">
        <w:rPr>
          <w:rtl/>
        </w:rPr>
        <w:t xml:space="preserve"> </w:t>
      </w:r>
      <w:r w:rsidRPr="00DA038C">
        <w:rPr>
          <w:sz w:val="22"/>
          <w:szCs w:val="24"/>
          <w:rtl/>
        </w:rPr>
        <w:t>7</w:t>
      </w:r>
    </w:p>
    <w:p w:rsidR="001A2833" w:rsidRPr="00F45441" w:rsidRDefault="00430D40" w:rsidP="001A2833">
      <w:pPr>
        <w:pStyle w:val="Heading4"/>
        <w:rPr>
          <w:rtl/>
        </w:rPr>
      </w:pPr>
      <w:r w:rsidRPr="00F45441">
        <w:rPr>
          <w:rtl/>
        </w:rPr>
        <w:t>دليل</w:t>
      </w:r>
      <w:r w:rsidRPr="00F45441">
        <w:t> </w:t>
      </w:r>
      <w:r w:rsidRPr="00981951">
        <w:rPr>
          <w:u w:color="004386" w:themeColor="text2"/>
          <w:rtl/>
        </w:rPr>
        <w:t>الشبكة المشتركة لوكالا</w:t>
      </w:r>
      <w:r w:rsidRPr="00981951">
        <w:rPr>
          <w:u w:color="004386" w:themeColor="text2"/>
          <w:rtl/>
        </w:rPr>
        <w:t>ت</w:t>
      </w:r>
      <w:r w:rsidRPr="00981951">
        <w:rPr>
          <w:u w:color="004386" w:themeColor="text2"/>
          <w:rtl/>
        </w:rPr>
        <w:t xml:space="preserve"> التعلي</w:t>
      </w:r>
      <w:bookmarkStart w:id="0" w:name="_GoBack"/>
      <w:bookmarkEnd w:id="0"/>
      <w:r w:rsidRPr="00981951">
        <w:rPr>
          <w:u w:color="004386" w:themeColor="text2"/>
          <w:rtl/>
        </w:rPr>
        <w:t>م في حالات الطوارئ</w:t>
      </w:r>
    </w:p>
    <w:p w:rsidR="00430D40" w:rsidRPr="002B3473" w:rsidRDefault="00430D40" w:rsidP="001A2833">
      <w:pPr>
        <w:pStyle w:val="bullet"/>
        <w:rPr>
          <w:rtl/>
        </w:rPr>
      </w:pPr>
      <w:proofErr w:type="gramStart"/>
      <w:r w:rsidRPr="002B3473">
        <w:rPr>
          <w:rtl/>
        </w:rPr>
        <w:t>وقع</w:t>
      </w:r>
      <w:proofErr w:type="gramEnd"/>
      <w:r w:rsidRPr="002B3473">
        <w:rPr>
          <w:rtl/>
        </w:rPr>
        <w:t xml:space="preserve"> ضمّ هذه المواضيع المتشعّبة في الدّليل</w:t>
      </w:r>
      <w:r w:rsidR="00D32166" w:rsidRPr="002B3473">
        <w:rPr>
          <w:rFonts w:hint="cs"/>
          <w:rtl/>
        </w:rPr>
        <w:t xml:space="preserve"> حيث ذكر هذه المواضيع ف</w:t>
      </w:r>
      <w:r w:rsidR="00B26E6A" w:rsidRPr="002B3473">
        <w:rPr>
          <w:rFonts w:hint="cs"/>
          <w:rtl/>
        </w:rPr>
        <w:t>ي الخريطة النّهائيّة الموجودة في آخر الكتاب.</w:t>
      </w:r>
    </w:p>
    <w:p w:rsidR="00D32166" w:rsidRPr="002B3473" w:rsidRDefault="00D32166" w:rsidP="001A2833">
      <w:pPr>
        <w:pStyle w:val="bullet"/>
      </w:pPr>
      <w:r w:rsidRPr="002B3473">
        <w:rPr>
          <w:rtl/>
        </w:rPr>
        <w:t>الأطفال:</w:t>
      </w:r>
      <w:r w:rsidR="00B26E6A" w:rsidRPr="002B3473">
        <w:rPr>
          <w:rtl/>
        </w:rPr>
        <w:t xml:space="preserve"> </w:t>
      </w:r>
      <w:proofErr w:type="gramStart"/>
      <w:r w:rsidR="00B26E6A" w:rsidRPr="002B3473">
        <w:rPr>
          <w:rtl/>
        </w:rPr>
        <w:t>الفئة</w:t>
      </w:r>
      <w:proofErr w:type="gramEnd"/>
      <w:r w:rsidR="00B26E6A" w:rsidRPr="002B3473">
        <w:rPr>
          <w:rtl/>
        </w:rPr>
        <w:t xml:space="preserve"> الرّئيسيّة المستهدفة.</w:t>
      </w:r>
    </w:p>
    <w:p w:rsidR="00B26E6A" w:rsidRPr="002B3473" w:rsidRDefault="00B26E6A" w:rsidP="001A2833">
      <w:pPr>
        <w:pStyle w:val="bullet"/>
      </w:pPr>
      <w:r w:rsidRPr="002B3473">
        <w:rPr>
          <w:rtl/>
        </w:rPr>
        <w:t xml:space="preserve">النوع </w:t>
      </w:r>
      <w:r w:rsidR="00CF7311" w:rsidRPr="002B3473">
        <w:rPr>
          <w:rFonts w:hint="cs"/>
          <w:rtl/>
        </w:rPr>
        <w:t>الاجتماعي</w:t>
      </w:r>
      <w:r w:rsidRPr="002B3473">
        <w:rPr>
          <w:rtl/>
        </w:rPr>
        <w:t xml:space="preserve">: </w:t>
      </w:r>
      <w:r w:rsidR="00CF7311" w:rsidRPr="002B3473">
        <w:rPr>
          <w:rFonts w:hint="cs"/>
          <w:rtl/>
        </w:rPr>
        <w:t>ال</w:t>
      </w:r>
      <w:r w:rsidRPr="002B3473">
        <w:rPr>
          <w:rtl/>
        </w:rPr>
        <w:t>دليل الجيب</w:t>
      </w:r>
      <w:r w:rsidR="00CF7311" w:rsidRPr="002B3473">
        <w:rPr>
          <w:rFonts w:hint="cs"/>
          <w:rtl/>
        </w:rPr>
        <w:t>ي</w:t>
      </w:r>
      <w:r w:rsidRPr="002B3473">
        <w:rPr>
          <w:rtl/>
        </w:rPr>
        <w:t xml:space="preserve"> حول النوع </w:t>
      </w:r>
      <w:r w:rsidR="00CF7311" w:rsidRPr="002B3473">
        <w:rPr>
          <w:rFonts w:hint="cs"/>
          <w:rtl/>
        </w:rPr>
        <w:t>الاجتماعي</w:t>
      </w:r>
      <w:r w:rsidRPr="002B3473">
        <w:rPr>
          <w:rtl/>
        </w:rPr>
        <w:t xml:space="preserve"> 'لآيني '</w:t>
      </w:r>
    </w:p>
    <w:p w:rsidR="00B26E6A" w:rsidRPr="002B3473" w:rsidRDefault="00B26E6A" w:rsidP="001A2833">
      <w:pPr>
        <w:pStyle w:val="bullet"/>
      </w:pPr>
      <w:r w:rsidRPr="002B3473">
        <w:rPr>
          <w:rFonts w:hint="cs"/>
          <w:rtl/>
        </w:rPr>
        <w:t xml:space="preserve">الجانب النّفسي </w:t>
      </w:r>
      <w:r w:rsidR="00763566" w:rsidRPr="002B3473">
        <w:rPr>
          <w:rFonts w:hint="cs"/>
          <w:rtl/>
        </w:rPr>
        <w:t>الاجتماعي</w:t>
      </w:r>
      <w:r w:rsidR="00763566">
        <w:rPr>
          <w:rFonts w:hint="cs"/>
          <w:rtl/>
        </w:rPr>
        <w:t>:</w:t>
      </w:r>
      <w:r w:rsidR="00D7647E" w:rsidRPr="002B3473">
        <w:rPr>
          <w:rtl/>
        </w:rPr>
        <w:t xml:space="preserve"> المعايير </w:t>
      </w:r>
      <w:r w:rsidR="00763566" w:rsidRPr="002B3473">
        <w:rPr>
          <w:rFonts w:hint="cs"/>
          <w:rtl/>
        </w:rPr>
        <w:t>المؤسسية</w:t>
      </w:r>
      <w:r w:rsidR="00763566">
        <w:rPr>
          <w:rFonts w:hint="cs"/>
          <w:rtl/>
        </w:rPr>
        <w:t>-</w:t>
      </w:r>
      <w:r w:rsidR="00D7647E" w:rsidRPr="002B3473">
        <w:rPr>
          <w:rtl/>
        </w:rPr>
        <w:t xml:space="preserve"> الوصول وبيئة التعلم</w:t>
      </w:r>
      <w:r w:rsidRPr="002B3473">
        <w:rPr>
          <w:rtl/>
        </w:rPr>
        <w:t xml:space="preserve"> المعيار </w:t>
      </w:r>
      <w:r w:rsidR="00CF7311" w:rsidRPr="00DA038C">
        <w:rPr>
          <w:rFonts w:hint="cs"/>
          <w:sz w:val="22"/>
          <w:szCs w:val="24"/>
          <w:rtl/>
        </w:rPr>
        <w:t>2</w:t>
      </w:r>
      <w:r w:rsidRPr="002B3473">
        <w:rPr>
          <w:rtl/>
        </w:rPr>
        <w:t>: الحماية والرّفاهية</w:t>
      </w:r>
      <w:r w:rsidRPr="002B3473">
        <w:t>.</w:t>
      </w:r>
    </w:p>
    <w:p w:rsidR="001A2833" w:rsidRDefault="00B26E6A" w:rsidP="001A2833">
      <w:pPr>
        <w:pStyle w:val="bullet"/>
      </w:pPr>
      <w:r w:rsidRPr="002B3473">
        <w:rPr>
          <w:rFonts w:hint="cs"/>
          <w:rtl/>
        </w:rPr>
        <w:t>ا</w:t>
      </w:r>
      <w:r w:rsidRPr="002B3473">
        <w:rPr>
          <w:rtl/>
        </w:rPr>
        <w:t>لحدّ من المخاطر</w:t>
      </w:r>
    </w:p>
    <w:p w:rsidR="00430D40" w:rsidRPr="002B3473" w:rsidRDefault="00430D40" w:rsidP="001A2833">
      <w:pPr>
        <w:pStyle w:val="Heading4"/>
        <w:rPr>
          <w:rtl/>
        </w:rPr>
      </w:pPr>
      <w:r w:rsidRPr="002B3473">
        <w:rPr>
          <w:rtl/>
        </w:rPr>
        <w:t>دليل المعايير والإرشادات في الطوارئ الخاصة بالماشية</w:t>
      </w:r>
    </w:p>
    <w:p w:rsidR="00430D40" w:rsidRPr="002B3473" w:rsidRDefault="00430D40" w:rsidP="00763566">
      <w:pPr>
        <w:pStyle w:val="bullet"/>
      </w:pPr>
      <w:r w:rsidRPr="00DA038C">
        <w:rPr>
          <w:sz w:val="22"/>
          <w:szCs w:val="24"/>
          <w:rtl/>
        </w:rPr>
        <w:t>4</w:t>
      </w:r>
      <w:r w:rsidRPr="002B3473">
        <w:rPr>
          <w:rtl/>
        </w:rPr>
        <w:t xml:space="preserve"> قضايا متداخلة (صفحة </w:t>
      </w:r>
      <w:r w:rsidR="00677000" w:rsidRPr="00DA038C">
        <w:rPr>
          <w:sz w:val="22"/>
          <w:szCs w:val="24"/>
          <w:rtl/>
        </w:rPr>
        <w:t>14</w:t>
      </w:r>
      <w:r w:rsidRPr="002B3473">
        <w:rPr>
          <w:rtl/>
        </w:rPr>
        <w:t>):</w:t>
      </w:r>
      <w:r w:rsidR="00763566">
        <w:rPr>
          <w:rFonts w:hint="cs"/>
          <w:rtl/>
        </w:rPr>
        <w:t xml:space="preserve"> </w:t>
      </w:r>
      <w:r w:rsidR="00763566">
        <w:rPr>
          <w:rtl/>
        </w:rPr>
        <w:t>الجنسانيّة</w:t>
      </w:r>
      <w:r w:rsidR="00763566">
        <w:rPr>
          <w:rFonts w:hint="cs"/>
          <w:rtl/>
        </w:rPr>
        <w:t xml:space="preserve"> </w:t>
      </w:r>
      <w:r w:rsidRPr="002B3473">
        <w:rPr>
          <w:rtl/>
        </w:rPr>
        <w:t>وفيروس نقص المناعة البشريّة \الايدز والأمن والحماية والبيئة.</w:t>
      </w:r>
    </w:p>
    <w:p w:rsidR="00430D40" w:rsidRPr="002B3473" w:rsidRDefault="0057472B" w:rsidP="001A2833">
      <w:pPr>
        <w:pStyle w:val="bullet"/>
      </w:pPr>
      <w:r w:rsidRPr="002B3473">
        <w:rPr>
          <w:rtl/>
        </w:rPr>
        <w:t xml:space="preserve">الحدّ </w:t>
      </w:r>
      <w:r w:rsidR="00677000" w:rsidRPr="002B3473">
        <w:rPr>
          <w:rtl/>
        </w:rPr>
        <w:t>من المخاطر</w:t>
      </w:r>
    </w:p>
    <w:p w:rsidR="0057472B" w:rsidRPr="002B3473" w:rsidRDefault="00677000" w:rsidP="001A2833">
      <w:pPr>
        <w:pStyle w:val="bullet"/>
      </w:pPr>
      <w:proofErr w:type="gramStart"/>
      <w:r w:rsidRPr="002B3473">
        <w:rPr>
          <w:rtl/>
        </w:rPr>
        <w:t>الفئات</w:t>
      </w:r>
      <w:proofErr w:type="gramEnd"/>
      <w:r w:rsidRPr="002B3473">
        <w:rPr>
          <w:rtl/>
        </w:rPr>
        <w:t xml:space="preserve"> الاجتماعية المهدّدة بمن فيهم الأطفال والمسنّين والأشخاص ذوي الإعاقة</w:t>
      </w:r>
    </w:p>
    <w:p w:rsidR="001A2833" w:rsidRDefault="00D32166" w:rsidP="001A2833">
      <w:pPr>
        <w:pStyle w:val="Heading4"/>
      </w:pPr>
      <w:r w:rsidRPr="002B3473">
        <w:rPr>
          <w:rtl/>
        </w:rPr>
        <w:t>شبكة النهوض بالمشروعات الصغيرة وتعزيزها</w:t>
      </w:r>
    </w:p>
    <w:p w:rsidR="001A2833" w:rsidRDefault="00D32166" w:rsidP="001A2833">
      <w:pPr>
        <w:pStyle w:val="bullet"/>
        <w:rPr>
          <w:rtl/>
        </w:rPr>
      </w:pPr>
      <w:r w:rsidRPr="002B3473">
        <w:rPr>
          <w:rtl/>
        </w:rPr>
        <w:t xml:space="preserve">المواضيع المتشعّبة(صفحة </w:t>
      </w:r>
      <w:r w:rsidRPr="00DA038C">
        <w:rPr>
          <w:sz w:val="22"/>
          <w:szCs w:val="24"/>
          <w:rtl/>
        </w:rPr>
        <w:t>10</w:t>
      </w:r>
      <w:r w:rsidRPr="002B3473">
        <w:rPr>
          <w:rtl/>
        </w:rPr>
        <w:t xml:space="preserve"> حسب النّسخة الانجليزيّة): الجنسانيّة والأطفال والمسنّيّن وذوي الإعاقة والبيئة.</w:t>
      </w:r>
    </w:p>
    <w:p w:rsidR="00D32166" w:rsidRPr="002B3473" w:rsidRDefault="00D32166" w:rsidP="001A2833">
      <w:pPr>
        <w:pStyle w:val="bullet"/>
      </w:pPr>
      <w:r w:rsidRPr="002B3473">
        <w:rPr>
          <w:rtl/>
        </w:rPr>
        <w:t>الحدّ من المخاطر</w:t>
      </w:r>
    </w:p>
    <w:sectPr w:rsidR="00D32166" w:rsidRPr="002B3473" w:rsidSect="002B34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247" w:bottom="851" w:left="1247" w:header="709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957" w:rsidRDefault="000D2957" w:rsidP="002848CC">
      <w:pPr>
        <w:spacing w:before="0"/>
      </w:pPr>
      <w:r>
        <w:separator/>
      </w:r>
    </w:p>
  </w:endnote>
  <w:endnote w:type="continuationSeparator" w:id="0">
    <w:p w:rsidR="000D2957" w:rsidRDefault="000D2957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A54" w:rsidRPr="004F1D9A" w:rsidRDefault="00405A54" w:rsidP="00F51600">
    <w:r w:rsidRPr="00F97BB3">
      <w:t>Module B3: Sphere, Disaster Risk Reduction/Management and resilience. Sphere Training Package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CA6" w:rsidRPr="00D93DD5" w:rsidRDefault="00A57CA6" w:rsidP="00A57CA6">
    <w:pPr>
      <w:pStyle w:val="Footer"/>
      <w:rPr>
        <w:szCs w:val="24"/>
        <w:rtl/>
      </w:rPr>
    </w:pPr>
    <w:r w:rsidRPr="00D93DD5">
      <w:rPr>
        <w:szCs w:val="24"/>
        <w:rtl/>
      </w:rPr>
      <w:t>الجزء "أ"</w:t>
    </w:r>
    <w:r w:rsidRPr="00D93DD5">
      <w:rPr>
        <w:szCs w:val="24"/>
      </w:rPr>
      <w:t xml:space="preserve"> </w:t>
    </w:r>
    <w:r w:rsidRPr="00D93DD5">
      <w:rPr>
        <w:szCs w:val="24"/>
        <w:rtl/>
      </w:rPr>
      <w:t>7</w:t>
    </w:r>
    <w:r w:rsidRPr="00D93DD5">
      <w:rPr>
        <w:rFonts w:hint="cs"/>
        <w:szCs w:val="24"/>
        <w:rtl/>
      </w:rPr>
      <w:t xml:space="preserve">: مواضيع </w:t>
    </w:r>
    <w:proofErr w:type="spellStart"/>
    <w:r w:rsidRPr="00D93DD5">
      <w:rPr>
        <w:rFonts w:hint="cs"/>
        <w:szCs w:val="24"/>
        <w:rtl/>
      </w:rPr>
      <w:t>اسفير</w:t>
    </w:r>
    <w:proofErr w:type="spellEnd"/>
    <w:r w:rsidRPr="00D93DD5">
      <w:rPr>
        <w:rFonts w:hint="cs"/>
        <w:szCs w:val="24"/>
        <w:rtl/>
      </w:rPr>
      <w:t xml:space="preserve"> المتشعبة </w:t>
    </w:r>
    <w:r w:rsidRPr="00D93DD5">
      <w:rPr>
        <w:szCs w:val="24"/>
      </w:rPr>
      <w:tab/>
    </w:r>
    <w:r w:rsidRPr="00D93DD5">
      <w:rPr>
        <w:rFonts w:hint="cs"/>
        <w:szCs w:val="24"/>
        <w:rtl/>
      </w:rPr>
      <w:t xml:space="preserve">مجموعة </w:t>
    </w:r>
    <w:proofErr w:type="spellStart"/>
    <w:r w:rsidRPr="00D93DD5">
      <w:rPr>
        <w:rFonts w:hint="cs"/>
        <w:szCs w:val="24"/>
        <w:rtl/>
      </w:rPr>
      <w:t>اسفير</w:t>
    </w:r>
    <w:proofErr w:type="spellEnd"/>
    <w:r w:rsidRPr="00D93DD5">
      <w:rPr>
        <w:rFonts w:hint="cs"/>
        <w:szCs w:val="24"/>
        <w:rtl/>
      </w:rPr>
      <w:t xml:space="preserve"> التدريبية 2015</w:t>
    </w:r>
  </w:p>
  <w:p w:rsidR="00405A54" w:rsidRPr="00A57CA6" w:rsidRDefault="00405A54" w:rsidP="00A57C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A54" w:rsidRPr="00D93DD5" w:rsidRDefault="00D7647E" w:rsidP="00F45441">
    <w:pPr>
      <w:pStyle w:val="Footer"/>
      <w:rPr>
        <w:szCs w:val="24"/>
        <w:rtl/>
      </w:rPr>
    </w:pPr>
    <w:r w:rsidRPr="00D93DD5">
      <w:rPr>
        <w:szCs w:val="24"/>
        <w:rtl/>
      </w:rPr>
      <w:t>الجزء "أ"</w:t>
    </w:r>
    <w:r w:rsidR="00F45441" w:rsidRPr="00D93DD5">
      <w:rPr>
        <w:szCs w:val="24"/>
      </w:rPr>
      <w:t xml:space="preserve"> </w:t>
    </w:r>
    <w:r w:rsidRPr="00D93DD5">
      <w:rPr>
        <w:szCs w:val="24"/>
        <w:rtl/>
      </w:rPr>
      <w:t>7</w:t>
    </w:r>
    <w:r w:rsidR="002E70AB" w:rsidRPr="00D93DD5">
      <w:rPr>
        <w:rFonts w:hint="cs"/>
        <w:szCs w:val="24"/>
        <w:rtl/>
      </w:rPr>
      <w:t xml:space="preserve">: مواضيع </w:t>
    </w:r>
    <w:proofErr w:type="spellStart"/>
    <w:r w:rsidR="002E70AB" w:rsidRPr="00D93DD5">
      <w:rPr>
        <w:rFonts w:hint="cs"/>
        <w:szCs w:val="24"/>
        <w:rtl/>
      </w:rPr>
      <w:t>اسفير</w:t>
    </w:r>
    <w:proofErr w:type="spellEnd"/>
    <w:r w:rsidR="002E70AB" w:rsidRPr="00D93DD5">
      <w:rPr>
        <w:rFonts w:hint="cs"/>
        <w:szCs w:val="24"/>
        <w:rtl/>
      </w:rPr>
      <w:t xml:space="preserve"> المتشعبة </w:t>
    </w:r>
    <w:r w:rsidR="001A2833" w:rsidRPr="00D93DD5">
      <w:rPr>
        <w:szCs w:val="24"/>
      </w:rPr>
      <w:tab/>
    </w:r>
    <w:r w:rsidR="00CF7311" w:rsidRPr="00D93DD5">
      <w:rPr>
        <w:rFonts w:hint="cs"/>
        <w:szCs w:val="24"/>
        <w:rtl/>
      </w:rPr>
      <w:t xml:space="preserve">مجموعة </w:t>
    </w:r>
    <w:proofErr w:type="spellStart"/>
    <w:r w:rsidR="00CF7311" w:rsidRPr="00D93DD5">
      <w:rPr>
        <w:rFonts w:hint="cs"/>
        <w:szCs w:val="24"/>
        <w:rtl/>
      </w:rPr>
      <w:t>اسفير</w:t>
    </w:r>
    <w:proofErr w:type="spellEnd"/>
    <w:r w:rsidR="00CF7311" w:rsidRPr="00D93DD5">
      <w:rPr>
        <w:rFonts w:hint="cs"/>
        <w:szCs w:val="24"/>
        <w:rtl/>
      </w:rPr>
      <w:t xml:space="preserve"> التدريبية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957" w:rsidRDefault="000D2957" w:rsidP="002848CC">
      <w:pPr>
        <w:spacing w:before="0"/>
      </w:pPr>
      <w:r>
        <w:separator/>
      </w:r>
    </w:p>
  </w:footnote>
  <w:footnote w:type="continuationSeparator" w:id="0">
    <w:p w:rsidR="000D2957" w:rsidRDefault="000D2957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A54" w:rsidRPr="004F1D9A" w:rsidRDefault="00405A54" w:rsidP="00891199">
    <w:r w:rsidRPr="007A7ACB">
      <w:t>Handouts</w:t>
    </w:r>
    <w:r>
      <w:tab/>
    </w:r>
    <w:r w:rsidRPr="003E013F">
      <w:rPr>
        <w:noProof/>
        <w:lang w:val="fr-FR" w:eastAsia="fr-FR"/>
      </w:rPr>
      <w:drawing>
        <wp:inline distT="0" distB="0" distL="0" distR="0">
          <wp:extent cx="1859799" cy="381992"/>
          <wp:effectExtent l="0" t="0" r="0" b="0"/>
          <wp:docPr id="6" name="Picture 6" descr="Files:Current Client:Walkgrove:Sphere:Sphere examples and guidelines:Visual_guidelines_and_materials:HANDBOOK ICONS:Sphere-Project-Logo-Landscape-No-Tagline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iles:Current Client:Walkgrove:Sphere:Sphere examples and guidelines:Visual_guidelines_and_materials:HANDBOOK ICONS:Sphere-Project-Logo-Landscape-No-Tagline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27" cy="382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A54" w:rsidRPr="00D93DD5" w:rsidRDefault="00DC6D21" w:rsidP="00D93DD5">
    <w:pPr>
      <w:pStyle w:val="Header"/>
      <w:jc w:val="right"/>
      <w:rPr>
        <w:rFonts w:eastAsia="MS PGothic"/>
        <w:sz w:val="32"/>
        <w:szCs w:val="32"/>
      </w:rPr>
    </w:pPr>
    <w:proofErr w:type="gramStart"/>
    <w:r w:rsidRPr="00D93DD5">
      <w:rPr>
        <w:rFonts w:eastAsia="MS PGothic" w:hint="cs"/>
        <w:sz w:val="32"/>
        <w:szCs w:val="32"/>
        <w:rtl/>
      </w:rPr>
      <w:t>المواد</w:t>
    </w:r>
    <w:proofErr w:type="gramEnd"/>
    <w:r w:rsidRPr="00D93DD5">
      <w:rPr>
        <w:rFonts w:eastAsia="MS PGothic" w:hint="cs"/>
        <w:sz w:val="32"/>
        <w:szCs w:val="32"/>
        <w:rtl/>
      </w:rPr>
      <w:t xml:space="preserve"> التّدريبيّة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84B" w:rsidRPr="002B3473" w:rsidRDefault="00BE184B" w:rsidP="002B3473">
    <w:pPr>
      <w:pStyle w:val="Heading1"/>
      <w:rPr>
        <w:color w:val="579305" w:themeColor="accent1"/>
      </w:rPr>
    </w:pPr>
    <w:r w:rsidRPr="00111B3A">
      <w:rPr>
        <w:rFonts w:hint="cs"/>
        <w:sz w:val="32"/>
        <w:rtl/>
      </w:rPr>
      <w:t>الجزء</w:t>
    </w:r>
    <w:r w:rsidRPr="00111B3A">
      <w:rPr>
        <w:sz w:val="32"/>
        <w:rtl/>
      </w:rPr>
      <w:t xml:space="preserve"> "</w:t>
    </w:r>
    <w:r w:rsidRPr="00111B3A">
      <w:rPr>
        <w:rFonts w:hint="cs"/>
        <w:sz w:val="32"/>
        <w:rtl/>
      </w:rPr>
      <w:t>أ"</w:t>
    </w:r>
    <w:r w:rsidR="00CF7311" w:rsidRPr="00111B3A">
      <w:rPr>
        <w:rFonts w:hint="cs"/>
        <w:sz w:val="32"/>
        <w:rtl/>
      </w:rPr>
      <w:t xml:space="preserve"> </w:t>
    </w:r>
    <w:r w:rsidRPr="00111B3A">
      <w:rPr>
        <w:rFonts w:hint="cs"/>
        <w:sz w:val="32"/>
        <w:rtl/>
      </w:rPr>
      <w:t xml:space="preserve">7: مواضيع </w:t>
    </w:r>
    <w:proofErr w:type="spellStart"/>
    <w:r w:rsidRPr="00111B3A">
      <w:rPr>
        <w:rFonts w:hint="cs"/>
        <w:sz w:val="32"/>
        <w:rtl/>
      </w:rPr>
      <w:t>اسفير</w:t>
    </w:r>
    <w:proofErr w:type="spellEnd"/>
    <w:r w:rsidRPr="00111B3A">
      <w:rPr>
        <w:rFonts w:hint="cs"/>
        <w:sz w:val="32"/>
        <w:rtl/>
      </w:rPr>
      <w:t xml:space="preserve"> المتشعبة</w:t>
    </w:r>
    <w:r w:rsidRPr="002B3473">
      <w:rPr>
        <w:rFonts w:hint="cs"/>
        <w:rtl/>
      </w:rPr>
      <w:t xml:space="preserve"> </w:t>
    </w:r>
    <w:r w:rsidR="002B3473" w:rsidRPr="002B3473">
      <w:tab/>
    </w:r>
    <w:r w:rsidRPr="002B3473">
      <w:rPr>
        <w:rFonts w:hint="cs"/>
        <w:color w:val="579305" w:themeColor="accent1"/>
        <w:rtl/>
      </w:rPr>
      <w:t>المواد التّدريبيّة</w:t>
    </w:r>
  </w:p>
  <w:p w:rsidR="00405A54" w:rsidRPr="002B3473" w:rsidRDefault="00BE184B" w:rsidP="002B3473">
    <w:pPr>
      <w:pStyle w:val="Heading2"/>
    </w:pPr>
    <w:r w:rsidRPr="002B3473">
      <w:rPr>
        <w:rFonts w:hint="cs"/>
        <w:rtl/>
      </w:rPr>
      <w:t>كيف يمكن دمج مواضيع اسفير المتشعّبة في عملك؟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82DCA"/>
    <w:multiLevelType w:val="hybridMultilevel"/>
    <w:tmpl w:val="C1EAB630"/>
    <w:lvl w:ilvl="0" w:tplc="97CCFBDE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3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014C6"/>
    <w:multiLevelType w:val="hybridMultilevel"/>
    <w:tmpl w:val="6E1462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D7DD3"/>
    <w:multiLevelType w:val="hybridMultilevel"/>
    <w:tmpl w:val="AE906BEA"/>
    <w:lvl w:ilvl="0" w:tplc="624EDB94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5672F"/>
    <w:multiLevelType w:val="hybridMultilevel"/>
    <w:tmpl w:val="1B9820A0"/>
    <w:lvl w:ilvl="0" w:tplc="A6F0BB26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80635"/>
    <w:multiLevelType w:val="multilevel"/>
    <w:tmpl w:val="0DC22F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0"/>
  </w:num>
  <w:num w:numId="8">
    <w:abstractNumId w:val="12"/>
  </w:num>
  <w:num w:numId="9">
    <w:abstractNumId w:val="7"/>
  </w:num>
  <w:num w:numId="10">
    <w:abstractNumId w:val="10"/>
  </w:num>
  <w:num w:numId="11">
    <w:abstractNumId w:val="3"/>
  </w:num>
  <w:num w:numId="12">
    <w:abstractNumId w:val="9"/>
  </w:num>
  <w:num w:numId="13">
    <w:abstractNumId w:val="8"/>
  </w:num>
  <w:num w:numId="14">
    <w:abstractNumId w:val="5"/>
  </w:num>
  <w:num w:numId="15">
    <w:abstractNumId w:val="6"/>
  </w:num>
  <w:num w:numId="16">
    <w:abstractNumId w:val="5"/>
  </w:num>
  <w:num w:numId="17">
    <w:abstractNumId w:val="6"/>
  </w:num>
  <w:num w:numId="18">
    <w:abstractNumId w:val="11"/>
  </w:num>
  <w:num w:numId="19">
    <w:abstractNumId w:val="1"/>
  </w:num>
  <w:num w:numId="20">
    <w:abstractNumId w:val="4"/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146"/>
    <w:rsid w:val="00015AE3"/>
    <w:rsid w:val="000D2957"/>
    <w:rsid w:val="00111B3A"/>
    <w:rsid w:val="0013229F"/>
    <w:rsid w:val="00144112"/>
    <w:rsid w:val="0015588F"/>
    <w:rsid w:val="001713BA"/>
    <w:rsid w:val="00171851"/>
    <w:rsid w:val="001740C0"/>
    <w:rsid w:val="00175CA3"/>
    <w:rsid w:val="0018406B"/>
    <w:rsid w:val="001869EC"/>
    <w:rsid w:val="001A2833"/>
    <w:rsid w:val="001B2C0A"/>
    <w:rsid w:val="001C7F2F"/>
    <w:rsid w:val="001D0724"/>
    <w:rsid w:val="001D7A65"/>
    <w:rsid w:val="001F7F75"/>
    <w:rsid w:val="00200D4D"/>
    <w:rsid w:val="00205074"/>
    <w:rsid w:val="002201FF"/>
    <w:rsid w:val="00237D09"/>
    <w:rsid w:val="00241992"/>
    <w:rsid w:val="00244347"/>
    <w:rsid w:val="00277B06"/>
    <w:rsid w:val="002848CC"/>
    <w:rsid w:val="002933E5"/>
    <w:rsid w:val="002958E2"/>
    <w:rsid w:val="002B3473"/>
    <w:rsid w:val="002C5B47"/>
    <w:rsid w:val="002D3B86"/>
    <w:rsid w:val="002E70AB"/>
    <w:rsid w:val="002F2B87"/>
    <w:rsid w:val="0030064E"/>
    <w:rsid w:val="00314ADC"/>
    <w:rsid w:val="00315E11"/>
    <w:rsid w:val="0035607A"/>
    <w:rsid w:val="00370153"/>
    <w:rsid w:val="00387049"/>
    <w:rsid w:val="00387581"/>
    <w:rsid w:val="003A1713"/>
    <w:rsid w:val="003A4483"/>
    <w:rsid w:val="003C469E"/>
    <w:rsid w:val="003C5331"/>
    <w:rsid w:val="003D60D7"/>
    <w:rsid w:val="003E013F"/>
    <w:rsid w:val="003E2279"/>
    <w:rsid w:val="003E2DB9"/>
    <w:rsid w:val="003F0EB3"/>
    <w:rsid w:val="00405A54"/>
    <w:rsid w:val="00416D90"/>
    <w:rsid w:val="004231C3"/>
    <w:rsid w:val="00430D40"/>
    <w:rsid w:val="0043797B"/>
    <w:rsid w:val="0045590B"/>
    <w:rsid w:val="00463DB5"/>
    <w:rsid w:val="004D7062"/>
    <w:rsid w:val="004F1D9A"/>
    <w:rsid w:val="0050225B"/>
    <w:rsid w:val="0053440C"/>
    <w:rsid w:val="0057472B"/>
    <w:rsid w:val="005751FD"/>
    <w:rsid w:val="005F6AEE"/>
    <w:rsid w:val="00601FF7"/>
    <w:rsid w:val="006121E1"/>
    <w:rsid w:val="00620E7C"/>
    <w:rsid w:val="0063519D"/>
    <w:rsid w:val="00637110"/>
    <w:rsid w:val="00652FB1"/>
    <w:rsid w:val="00677000"/>
    <w:rsid w:val="00690F64"/>
    <w:rsid w:val="006B2892"/>
    <w:rsid w:val="006C099B"/>
    <w:rsid w:val="006C6502"/>
    <w:rsid w:val="006D149B"/>
    <w:rsid w:val="006E74C4"/>
    <w:rsid w:val="006F26B6"/>
    <w:rsid w:val="006F280A"/>
    <w:rsid w:val="007030AE"/>
    <w:rsid w:val="00714CE1"/>
    <w:rsid w:val="00715CA8"/>
    <w:rsid w:val="00731755"/>
    <w:rsid w:val="00761400"/>
    <w:rsid w:val="00763566"/>
    <w:rsid w:val="00775878"/>
    <w:rsid w:val="00781146"/>
    <w:rsid w:val="00792B8B"/>
    <w:rsid w:val="007A255B"/>
    <w:rsid w:val="007A4412"/>
    <w:rsid w:val="007A7ACB"/>
    <w:rsid w:val="007B3E00"/>
    <w:rsid w:val="007D1ADB"/>
    <w:rsid w:val="007E0465"/>
    <w:rsid w:val="007E479A"/>
    <w:rsid w:val="00810AFF"/>
    <w:rsid w:val="00811B63"/>
    <w:rsid w:val="00816A31"/>
    <w:rsid w:val="00825D04"/>
    <w:rsid w:val="008260A5"/>
    <w:rsid w:val="008647F3"/>
    <w:rsid w:val="008652CA"/>
    <w:rsid w:val="00873E04"/>
    <w:rsid w:val="0087787A"/>
    <w:rsid w:val="00891199"/>
    <w:rsid w:val="008B4444"/>
    <w:rsid w:val="008B7D3C"/>
    <w:rsid w:val="008E5243"/>
    <w:rsid w:val="008F7DE8"/>
    <w:rsid w:val="00901034"/>
    <w:rsid w:val="0090172B"/>
    <w:rsid w:val="0090692F"/>
    <w:rsid w:val="00925784"/>
    <w:rsid w:val="00937519"/>
    <w:rsid w:val="009516C3"/>
    <w:rsid w:val="00961584"/>
    <w:rsid w:val="00971AD2"/>
    <w:rsid w:val="00981544"/>
    <w:rsid w:val="0098193F"/>
    <w:rsid w:val="00981951"/>
    <w:rsid w:val="00995549"/>
    <w:rsid w:val="009C6C4F"/>
    <w:rsid w:val="009D6A86"/>
    <w:rsid w:val="009D7027"/>
    <w:rsid w:val="009E270C"/>
    <w:rsid w:val="009E5F33"/>
    <w:rsid w:val="00A46634"/>
    <w:rsid w:val="00A57CA6"/>
    <w:rsid w:val="00A80DF5"/>
    <w:rsid w:val="00A93E89"/>
    <w:rsid w:val="00A95124"/>
    <w:rsid w:val="00AA7696"/>
    <w:rsid w:val="00AB088B"/>
    <w:rsid w:val="00AC4637"/>
    <w:rsid w:val="00AD30D2"/>
    <w:rsid w:val="00AF36C0"/>
    <w:rsid w:val="00AF7E5D"/>
    <w:rsid w:val="00B26E6A"/>
    <w:rsid w:val="00B2721E"/>
    <w:rsid w:val="00B40995"/>
    <w:rsid w:val="00B572C2"/>
    <w:rsid w:val="00B70E34"/>
    <w:rsid w:val="00B91AAC"/>
    <w:rsid w:val="00BA3EC6"/>
    <w:rsid w:val="00BE184B"/>
    <w:rsid w:val="00BE3D5B"/>
    <w:rsid w:val="00C0309C"/>
    <w:rsid w:val="00C239B6"/>
    <w:rsid w:val="00C32D00"/>
    <w:rsid w:val="00C35B0F"/>
    <w:rsid w:val="00C507F3"/>
    <w:rsid w:val="00C915A4"/>
    <w:rsid w:val="00CA2C50"/>
    <w:rsid w:val="00CE4CBC"/>
    <w:rsid w:val="00CF7311"/>
    <w:rsid w:val="00D02CAC"/>
    <w:rsid w:val="00D064C5"/>
    <w:rsid w:val="00D1247D"/>
    <w:rsid w:val="00D221A6"/>
    <w:rsid w:val="00D32166"/>
    <w:rsid w:val="00D54219"/>
    <w:rsid w:val="00D7647E"/>
    <w:rsid w:val="00D90736"/>
    <w:rsid w:val="00D93DD5"/>
    <w:rsid w:val="00DA038C"/>
    <w:rsid w:val="00DB5B46"/>
    <w:rsid w:val="00DC6D21"/>
    <w:rsid w:val="00DD0F73"/>
    <w:rsid w:val="00DE202F"/>
    <w:rsid w:val="00DE210D"/>
    <w:rsid w:val="00DE21D3"/>
    <w:rsid w:val="00DF2534"/>
    <w:rsid w:val="00E15219"/>
    <w:rsid w:val="00E247AB"/>
    <w:rsid w:val="00E25637"/>
    <w:rsid w:val="00E2620E"/>
    <w:rsid w:val="00E26D30"/>
    <w:rsid w:val="00E70361"/>
    <w:rsid w:val="00E71C66"/>
    <w:rsid w:val="00E8474E"/>
    <w:rsid w:val="00E93D5C"/>
    <w:rsid w:val="00EA1F0B"/>
    <w:rsid w:val="00EB14C9"/>
    <w:rsid w:val="00EE535D"/>
    <w:rsid w:val="00EF241F"/>
    <w:rsid w:val="00F25952"/>
    <w:rsid w:val="00F45441"/>
    <w:rsid w:val="00F51600"/>
    <w:rsid w:val="00F52152"/>
    <w:rsid w:val="00F66ABC"/>
    <w:rsid w:val="00F67F82"/>
    <w:rsid w:val="00F97BB3"/>
    <w:rsid w:val="00FA7F78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2B3473"/>
    <w:pPr>
      <w:keepLines/>
      <w:bidi/>
      <w:spacing w:before="160"/>
    </w:pPr>
    <w:rPr>
      <w:rFonts w:ascii="Traditional Arabic" w:hAnsi="Traditional Arabic" w:cs="Traditional Arabic"/>
      <w:sz w:val="24"/>
      <w:szCs w:val="28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2B3473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6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2B3473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2B3473"/>
    <w:pPr>
      <w:pBdr>
        <w:bottom w:val="none" w:sz="0" w:space="0" w:color="auto"/>
      </w:pBdr>
      <w:spacing w:before="320"/>
      <w:outlineLvl w:val="2"/>
    </w:pPr>
    <w:rPr>
      <w:bCs/>
      <w:i w:val="0"/>
      <w:iCs w:val="0"/>
      <w:sz w:val="28"/>
      <w:szCs w:val="36"/>
    </w:rPr>
  </w:style>
  <w:style w:type="paragraph" w:styleId="Heading4">
    <w:name w:val="heading 4"/>
    <w:aliases w:val="h4"/>
    <w:basedOn w:val="Heading3"/>
    <w:next w:val="Normal"/>
    <w:link w:val="Heading4Char"/>
    <w:qFormat/>
    <w:rsid w:val="002B3473"/>
    <w:pPr>
      <w:spacing w:before="240"/>
      <w:outlineLvl w:val="3"/>
    </w:pPr>
    <w:rPr>
      <w:rFonts w:eastAsia="Traditional Arabic"/>
      <w:szCs w:val="32"/>
    </w:rPr>
  </w:style>
  <w:style w:type="paragraph" w:styleId="Heading5">
    <w:name w:val="heading 5"/>
    <w:basedOn w:val="Normal"/>
    <w:next w:val="Normal"/>
    <w:link w:val="Heading5Char"/>
    <w:qFormat/>
    <w:rsid w:val="002B3473"/>
    <w:pPr>
      <w:keepNext/>
      <w:spacing w:before="320"/>
      <w:outlineLvl w:val="4"/>
    </w:pPr>
    <w:rPr>
      <w:b/>
      <w:bCs/>
      <w:color w:val="004386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B3473"/>
    <w:pPr>
      <w:keepNext/>
      <w:spacing w:before="40"/>
      <w:outlineLvl w:val="5"/>
    </w:pPr>
    <w:rPr>
      <w:rFonts w:asciiTheme="majorHAnsi" w:eastAsiaTheme="majorEastAsia" w:hAnsiTheme="majorHAnsi" w:cstheme="majorBidi"/>
      <w:color w:val="2B490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2B3473"/>
    <w:rPr>
      <w:rFonts w:ascii="Traditional Arabic" w:eastAsiaTheme="majorEastAsia" w:hAnsi="Traditional Arabic" w:cs="Traditional Arabic"/>
      <w:b/>
      <w:bCs/>
      <w:color w:val="004386"/>
      <w:kern w:val="32"/>
      <w:sz w:val="36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2B3473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6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2B3473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36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2B3473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32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2B3473"/>
    <w:rPr>
      <w:rFonts w:ascii="Traditional Arabic" w:hAnsi="Traditional Arabic" w:cs="Traditional Arabic"/>
      <w:b/>
      <w:bCs/>
      <w:color w:val="004386" w:themeColor="text2"/>
      <w:sz w:val="24"/>
      <w:szCs w:val="28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473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473"/>
    <w:rPr>
      <w:rFonts w:ascii="Traditional Arabic" w:hAnsi="Traditional Arabic" w:cs="Tahoma"/>
      <w:sz w:val="16"/>
      <w:szCs w:val="16"/>
      <w:lang w:val="en-GB" w:eastAsia="es-ES"/>
    </w:rPr>
  </w:style>
  <w:style w:type="paragraph" w:customStyle="1" w:styleId="bullet">
    <w:name w:val="bullet"/>
    <w:aliases w:val="b"/>
    <w:basedOn w:val="Normal"/>
    <w:qFormat/>
    <w:rsid w:val="001A2833"/>
    <w:pPr>
      <w:numPr>
        <w:numId w:val="21"/>
      </w:numPr>
      <w:spacing w:before="80"/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2B3473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3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4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473"/>
    <w:rPr>
      <w:rFonts w:ascii="Traditional Arabic" w:hAnsi="Traditional Arabic" w:cs="Traditional Arabic"/>
      <w:sz w:val="24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473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473"/>
    <w:rPr>
      <w:rFonts w:ascii="Traditional Arabic" w:hAnsi="Traditional Arabic" w:cs="Traditional Arabic"/>
      <w:b/>
      <w:sz w:val="24"/>
      <w:lang w:val="en-GB" w:eastAsia="es-ES"/>
    </w:rPr>
  </w:style>
  <w:style w:type="character" w:styleId="Emphasis">
    <w:name w:val="Emphasis"/>
    <w:uiPriority w:val="99"/>
    <w:qFormat/>
    <w:rsid w:val="002B3473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2B3473"/>
    <w:rPr>
      <w:color w:val="004386"/>
      <w:u w:val="single"/>
    </w:rPr>
  </w:style>
  <w:style w:type="paragraph" w:styleId="Footer">
    <w:name w:val="footer"/>
    <w:basedOn w:val="Normal"/>
    <w:link w:val="FooterChar"/>
    <w:rsid w:val="002B3473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rsid w:val="002B3473"/>
    <w:rPr>
      <w:rFonts w:ascii="Traditional Arabic" w:hAnsi="Traditional Arabic" w:cs="Traditional Arabic"/>
      <w:color w:val="004386" w:themeColor="text2"/>
      <w:sz w:val="24"/>
      <w:szCs w:val="28"/>
      <w:lang w:val="en-GB" w:eastAsia="es-ES"/>
    </w:rPr>
  </w:style>
  <w:style w:type="character" w:styleId="FootnoteReference">
    <w:name w:val="footnote reference"/>
    <w:basedOn w:val="DefaultParagraphFont"/>
    <w:rsid w:val="002B3473"/>
    <w:rPr>
      <w:vertAlign w:val="superscript"/>
    </w:rPr>
  </w:style>
  <w:style w:type="paragraph" w:styleId="FootnoteText">
    <w:name w:val="footnote text"/>
    <w:basedOn w:val="Normal"/>
    <w:link w:val="FootnoteTextChar"/>
    <w:rsid w:val="002B3473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B3473"/>
    <w:rPr>
      <w:rFonts w:ascii="Traditional Arabic" w:hAnsi="Traditional Arabic" w:cs="Traditional Arabic"/>
      <w:lang w:val="en-GB" w:eastAsia="es-ES"/>
    </w:rPr>
  </w:style>
  <w:style w:type="paragraph" w:styleId="Header">
    <w:name w:val="header"/>
    <w:basedOn w:val="Normal"/>
    <w:link w:val="HeaderChar"/>
    <w:rsid w:val="002B3473"/>
    <w:pPr>
      <w:pBdr>
        <w:bottom w:val="single" w:sz="4" w:space="4" w:color="004386" w:themeColor="text2"/>
      </w:pBdr>
      <w:tabs>
        <w:tab w:val="center" w:pos="4320"/>
        <w:tab w:val="right" w:pos="8640"/>
      </w:tabs>
      <w:spacing w:before="0"/>
    </w:pPr>
    <w:rPr>
      <w:b/>
      <w:bCs/>
      <w:color w:val="579305" w:themeColor="accent1"/>
      <w:sz w:val="28"/>
      <w:lang w:val="fr-FR" w:eastAsia="en-US" w:bidi="ar-TN"/>
    </w:rPr>
  </w:style>
  <w:style w:type="character" w:customStyle="1" w:styleId="HeaderChar">
    <w:name w:val="Header Char"/>
    <w:basedOn w:val="DefaultParagraphFont"/>
    <w:link w:val="Header"/>
    <w:rsid w:val="002B3473"/>
    <w:rPr>
      <w:rFonts w:ascii="Traditional Arabic" w:hAnsi="Traditional Arabic" w:cs="Traditional Arabic"/>
      <w:b/>
      <w:bCs/>
      <w:color w:val="579305" w:themeColor="accent1"/>
      <w:sz w:val="28"/>
      <w:szCs w:val="28"/>
      <w:lang w:bidi="ar-TN"/>
    </w:rPr>
  </w:style>
  <w:style w:type="character" w:customStyle="1" w:styleId="Heading6Char">
    <w:name w:val="Heading 6 Char"/>
    <w:basedOn w:val="DefaultParagraphFont"/>
    <w:link w:val="Heading6"/>
    <w:uiPriority w:val="9"/>
    <w:rsid w:val="002B3473"/>
    <w:rPr>
      <w:rFonts w:asciiTheme="majorHAnsi" w:eastAsiaTheme="majorEastAsia" w:hAnsiTheme="majorHAnsi" w:cstheme="majorBidi"/>
      <w:color w:val="2B4902" w:themeColor="accent1" w:themeShade="7F"/>
      <w:sz w:val="24"/>
      <w:szCs w:val="28"/>
      <w:lang w:val="en-GB" w:eastAsia="es-ES"/>
    </w:rPr>
  </w:style>
  <w:style w:type="character" w:styleId="Hyperlink">
    <w:name w:val="Hyperlink"/>
    <w:basedOn w:val="DefaultParagraphFont"/>
    <w:rsid w:val="002B3473"/>
    <w:rPr>
      <w:color w:val="004386" w:themeColor="hyperlink"/>
      <w:u w:val="single" w:color="004386" w:themeColor="text2"/>
    </w:rPr>
  </w:style>
  <w:style w:type="paragraph" w:customStyle="1" w:styleId="table">
    <w:name w:val="table"/>
    <w:aliases w:val="t"/>
    <w:basedOn w:val="Normal"/>
    <w:qFormat/>
    <w:rsid w:val="002B3473"/>
    <w:pPr>
      <w:spacing w:before="40" w:after="40" w:line="216" w:lineRule="auto"/>
    </w:pPr>
    <w:rPr>
      <w:sz w:val="22"/>
    </w:rPr>
  </w:style>
  <w:style w:type="paragraph" w:customStyle="1" w:styleId="Latinurl">
    <w:name w:val="Latin url"/>
    <w:basedOn w:val="table"/>
    <w:qFormat/>
    <w:rsid w:val="002B3473"/>
    <w:rPr>
      <w:rFonts w:ascii="Calibri" w:hAnsi="Calibri"/>
      <w:szCs w:val="22"/>
    </w:rPr>
  </w:style>
  <w:style w:type="paragraph" w:styleId="ListParagraph">
    <w:name w:val="List Paragraph"/>
    <w:basedOn w:val="Normal"/>
    <w:uiPriority w:val="34"/>
    <w:qFormat/>
    <w:rsid w:val="002B3473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2B3473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2B3473"/>
    <w:rPr>
      <w:rFonts w:asciiTheme="minorHAnsi" w:hAnsiTheme="minorHAnsi"/>
    </w:rPr>
  </w:style>
  <w:style w:type="paragraph" w:customStyle="1" w:styleId="tablebullet">
    <w:name w:val="table bullet"/>
    <w:basedOn w:val="table"/>
    <w:qFormat/>
    <w:rsid w:val="002B3473"/>
    <w:pPr>
      <w:numPr>
        <w:numId w:val="22"/>
      </w:numPr>
      <w:spacing w:after="0"/>
    </w:pPr>
  </w:style>
  <w:style w:type="table" w:styleId="TableGrid">
    <w:name w:val="Table Grid"/>
    <w:basedOn w:val="TableNormal"/>
    <w:uiPriority w:val="59"/>
    <w:rsid w:val="002B34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aliases w:val="th"/>
    <w:basedOn w:val="table"/>
    <w:qFormat/>
    <w:rsid w:val="002B3473"/>
    <w:rPr>
      <w:b/>
      <w:bCs/>
      <w:color w:val="004386" w:themeColor="text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9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Sphere Arabic theme" id="{DFEDC460-151B-473B-8E2A-FB5C82895DBF}" vid="{2DAC1FF5-906F-45A3-8387-16476CB61BC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709</Words>
  <Characters>3901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2015-05-12T10:36:00Z</cp:lastPrinted>
  <dcterms:created xsi:type="dcterms:W3CDTF">2015-05-27T09:37:00Z</dcterms:created>
  <dcterms:modified xsi:type="dcterms:W3CDTF">2015-05-28T16:07:00Z</dcterms:modified>
</cp:coreProperties>
</file>